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54C74">
      <w:pPr>
        <w:spacing w:line="360" w:lineRule="auto"/>
        <w:jc w:val="center"/>
        <w:rPr>
          <w:rFonts w:ascii="小标宋" w:hAnsi="小标宋" w:eastAsia="小标宋" w:cs="小标宋"/>
          <w:bCs/>
          <w:color w:val="000000" w:themeColor="text1"/>
          <w:kern w:val="0"/>
          <w:sz w:val="32"/>
          <w:szCs w:val="32"/>
          <w14:textFill>
            <w14:solidFill>
              <w14:schemeClr w14:val="tx1"/>
            </w14:solidFill>
          </w14:textFill>
        </w:rPr>
      </w:pPr>
      <w:r>
        <w:rPr>
          <w:rFonts w:hint="eastAsia" w:ascii="小标宋" w:hAnsi="小标宋" w:eastAsia="小标宋" w:cs="小标宋"/>
          <w:bCs/>
          <w:color w:val="000000" w:themeColor="text1"/>
          <w:kern w:val="0"/>
          <w:sz w:val="32"/>
          <w:szCs w:val="32"/>
          <w14:textFill>
            <w14:solidFill>
              <w14:schemeClr w14:val="tx1"/>
            </w14:solidFill>
          </w14:textFill>
        </w:rPr>
        <w:t>北航校医院</w:t>
      </w:r>
      <w:r>
        <w:rPr>
          <w:rFonts w:hint="eastAsia" w:ascii="小标宋" w:hAnsi="小标宋" w:eastAsia="小标宋" w:cs="小标宋"/>
          <w:bCs/>
          <w:color w:val="000000" w:themeColor="text1"/>
          <w:kern w:val="0"/>
          <w:sz w:val="32"/>
          <w:szCs w:val="32"/>
          <w:lang w:val="en-US" w:eastAsia="zh-CN" w:bidi="ar-SA"/>
          <w14:textFill>
            <w14:solidFill>
              <w14:schemeClr w14:val="tx1"/>
            </w14:solidFill>
          </w14:textFill>
        </w:rPr>
        <w:t>计算机X线断层摄影系统维修保养</w:t>
      </w:r>
      <w:r>
        <w:rPr>
          <w:rFonts w:hint="eastAsia" w:ascii="小标宋" w:hAnsi="小标宋" w:eastAsia="小标宋" w:cs="小标宋"/>
          <w:bCs/>
          <w:color w:val="000000" w:themeColor="text1"/>
          <w:kern w:val="0"/>
          <w:sz w:val="32"/>
          <w:szCs w:val="32"/>
          <w14:textFill>
            <w14:solidFill>
              <w14:schemeClr w14:val="tx1"/>
            </w14:solidFill>
          </w14:textFill>
        </w:rPr>
        <w:t>采购项目竞价采购需求文件及报价单</w:t>
      </w:r>
    </w:p>
    <w:p w14:paraId="755A3404">
      <w:pPr>
        <w:snapToGrid w:val="0"/>
        <w:spacing w:line="520" w:lineRule="exact"/>
        <w:ind w:firstLine="480" w:firstLineChars="200"/>
        <w:rPr>
          <w:rFonts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sz w:val="24"/>
        </w:rPr>
        <w:t>北京航空航天大学校医院计算机</w:t>
      </w:r>
      <w:r>
        <w:rPr>
          <w:rFonts w:ascii="仿宋_GB2312" w:hAnsi="仿宋_GB2312" w:eastAsia="仿宋_GB2312" w:cs="仿宋_GB2312"/>
          <w:sz w:val="24"/>
        </w:rPr>
        <w:t>X线断层摄影系统维修保养</w:t>
      </w:r>
      <w:r>
        <w:rPr>
          <w:rFonts w:hint="eastAsia" w:ascii="仿宋_GB2312" w:hAnsi="仿宋_GB2312" w:eastAsia="仿宋_GB2312" w:cs="仿宋_GB2312"/>
          <w:sz w:val="24"/>
        </w:rPr>
        <w:t>项目（以下简称“本项目”）已具备采购条件，现邀请有意向且符合条件的供应商参与本项目采购。</w:t>
      </w:r>
    </w:p>
    <w:p w14:paraId="5677023E">
      <w:pPr>
        <w:spacing w:line="520" w:lineRule="exact"/>
        <w:ind w:firstLine="482" w:firstLineChars="200"/>
        <w:rPr>
          <w:rFonts w:ascii="黑体" w:hAnsi="黑体" w:eastAsia="黑体" w:cs="黑体"/>
          <w:b/>
          <w:color w:val="000000" w:themeColor="text1"/>
          <w:kern w:val="0"/>
          <w:sz w:val="24"/>
          <w14:textFill>
            <w14:solidFill>
              <w14:schemeClr w14:val="tx1"/>
            </w14:solidFill>
          </w14:textFill>
        </w:rPr>
      </w:pPr>
      <w:r>
        <w:rPr>
          <w:rFonts w:hint="eastAsia" w:ascii="黑体" w:hAnsi="黑体" w:eastAsia="黑体" w:cs="黑体"/>
          <w:b/>
          <w:color w:val="000000" w:themeColor="text1"/>
          <w:kern w:val="0"/>
          <w:sz w:val="24"/>
          <w14:textFill>
            <w14:solidFill>
              <w14:schemeClr w14:val="tx1"/>
            </w14:solidFill>
          </w14:textFill>
        </w:rPr>
        <w:t>一、采购项目基本情况</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0"/>
        <w:gridCol w:w="5314"/>
      </w:tblGrid>
      <w:tr w14:paraId="008B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9" w:type="pct"/>
            <w:vAlign w:val="center"/>
          </w:tcPr>
          <w:p w14:paraId="3E6AF4CF">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采购项目名称</w:t>
            </w:r>
          </w:p>
        </w:tc>
        <w:tc>
          <w:tcPr>
            <w:tcW w:w="3121" w:type="pct"/>
            <w:vAlign w:val="center"/>
          </w:tcPr>
          <w:p w14:paraId="3272D189">
            <w:pPr>
              <w:spacing w:line="520" w:lineRule="exact"/>
              <w:jc w:val="center"/>
              <w:rPr>
                <w:rFonts w:eastAsia="仿宋_GB2312" w:cs="仿宋_GB2312"/>
                <w:sz w:val="24"/>
              </w:rPr>
            </w:pPr>
            <w:r>
              <w:rPr>
                <w:rFonts w:hint="eastAsia" w:ascii="仿宋_GB2312" w:hAnsi="仿宋_GB2312" w:eastAsia="仿宋_GB2312" w:cs="仿宋_GB2312"/>
                <w:sz w:val="24"/>
              </w:rPr>
              <w:t>北航校医院计算机</w:t>
            </w:r>
            <w:r>
              <w:rPr>
                <w:rFonts w:ascii="仿宋_GB2312" w:hAnsi="仿宋_GB2312" w:eastAsia="仿宋_GB2312" w:cs="仿宋_GB2312"/>
                <w:sz w:val="24"/>
              </w:rPr>
              <w:t>X线断层摄影系统维修保养</w:t>
            </w:r>
            <w:r>
              <w:rPr>
                <w:rFonts w:hint="eastAsia" w:eastAsia="仿宋_GB2312" w:cs="仿宋_GB2312"/>
                <w:sz w:val="24"/>
              </w:rPr>
              <w:t> </w:t>
            </w:r>
          </w:p>
        </w:tc>
      </w:tr>
      <w:tr w14:paraId="4C70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9" w:type="pct"/>
            <w:vAlign w:val="center"/>
          </w:tcPr>
          <w:p w14:paraId="20EFF912">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联系人及联系方式</w:t>
            </w:r>
          </w:p>
        </w:tc>
        <w:tc>
          <w:tcPr>
            <w:tcW w:w="3121" w:type="pct"/>
            <w:vAlign w:val="center"/>
          </w:tcPr>
          <w:p w14:paraId="5D8B53D5">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李老师，82331175</w:t>
            </w:r>
          </w:p>
        </w:tc>
      </w:tr>
      <w:tr w14:paraId="6155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9" w:type="pct"/>
            <w:vAlign w:val="center"/>
          </w:tcPr>
          <w:p w14:paraId="3E8ABCBB">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预算金额（最高限价）</w:t>
            </w:r>
          </w:p>
        </w:tc>
        <w:tc>
          <w:tcPr>
            <w:tcW w:w="3121" w:type="pct"/>
            <w:vAlign w:val="center"/>
          </w:tcPr>
          <w:p w14:paraId="10FADB48">
            <w:pPr>
              <w:spacing w:line="520" w:lineRule="exact"/>
              <w:jc w:val="center"/>
              <w:rPr>
                <w:rFonts w:ascii="仿宋_GB2312" w:hAnsi="仿宋_GB2312" w:eastAsia="仿宋_GB2312" w:cs="仿宋_GB2312"/>
                <w:sz w:val="24"/>
              </w:rPr>
            </w:pPr>
            <w:r>
              <w:rPr>
                <w:rFonts w:hint="eastAsia" w:ascii="仿宋_GB2312" w:hAnsi="仿宋_GB2312" w:eastAsia="仿宋_GB2312" w:cs="仿宋_GB2312"/>
                <w:b/>
                <w:bCs/>
                <w:sz w:val="24"/>
              </w:rPr>
              <w:t>24（万元）</w:t>
            </w:r>
          </w:p>
        </w:tc>
      </w:tr>
      <w:tr w14:paraId="265E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879" w:type="pct"/>
            <w:vAlign w:val="center"/>
          </w:tcPr>
          <w:p w14:paraId="1C40D6E1">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采购类型</w:t>
            </w:r>
          </w:p>
        </w:tc>
        <w:tc>
          <w:tcPr>
            <w:tcW w:w="3121" w:type="pct"/>
            <w:vAlign w:val="center"/>
          </w:tcPr>
          <w:p w14:paraId="56BCBD08">
            <w:pPr>
              <w:spacing w:line="520" w:lineRule="exact"/>
              <w:jc w:val="center"/>
              <w:rPr>
                <w:rFonts w:ascii="仿宋_GB2312" w:hAnsi="仿宋_GB2312" w:eastAsia="仿宋_GB2312" w:cs="仿宋_GB2312"/>
                <w:sz w:val="24"/>
              </w:rPr>
            </w:pPr>
            <w:sdt>
              <w:sdtPr>
                <w:rPr>
                  <w:rFonts w:hint="eastAsia" w:ascii="仿宋_GB2312" w:hAnsi="仿宋_GB2312" w:eastAsia="仿宋_GB2312" w:cs="仿宋_GB2312"/>
                  <w:sz w:val="24"/>
                </w:rPr>
                <w:id w:val="147466906"/>
              </w:sdtPr>
              <w:sdtEndPr>
                <w:rPr>
                  <w:rFonts w:hint="eastAsia" w:ascii="仿宋_GB2312" w:hAnsi="仿宋_GB2312" w:eastAsia="仿宋_GB2312" w:cs="仿宋_GB2312"/>
                  <w:sz w:val="24"/>
                </w:rPr>
              </w:sdtEndPr>
              <w:sdtContent>
                <w:r>
                  <w:rPr>
                    <w:rFonts w:hint="eastAsia" w:ascii="MS Gothic" w:hAnsi="MS Gothic" w:eastAsia="MS Gothic" w:cs="仿宋_GB2312"/>
                    <w:sz w:val="24"/>
                  </w:rPr>
                  <w:t>☐</w:t>
                </w:r>
              </w:sdtContent>
            </w:sdt>
            <w:r>
              <w:rPr>
                <w:rFonts w:hint="eastAsia" w:ascii="仿宋_GB2312" w:hAnsi="仿宋_GB2312" w:eastAsia="仿宋_GB2312" w:cs="仿宋_GB2312"/>
                <w:sz w:val="24"/>
              </w:rPr>
              <w:t xml:space="preserve">货物  </w:t>
            </w:r>
            <w:sdt>
              <w:sdtPr>
                <w:rPr>
                  <w:rFonts w:hint="eastAsia" w:ascii="仿宋_GB2312" w:hAnsi="仿宋_GB2312" w:eastAsia="仿宋_GB2312" w:cs="仿宋_GB2312"/>
                  <w:sz w:val="24"/>
                </w:rPr>
                <w:id w:val="147460741"/>
              </w:sdtPr>
              <w:sdtEndPr>
                <w:rPr>
                  <w:rFonts w:hint="eastAsia" w:ascii="仿宋_GB2312" w:hAnsi="仿宋_GB2312" w:eastAsia="仿宋_GB2312" w:cs="仿宋_GB2312"/>
                  <w:sz w:val="24"/>
                </w:rPr>
              </w:sdtEndPr>
              <w:sdtContent>
                <w:r>
                  <w:rPr>
                    <w:rFonts w:hint="eastAsia" w:ascii="仿宋" w:hAnsi="仿宋" w:eastAsia="仿宋" w:cs="仿宋_GB2312"/>
                    <w:sz w:val="24"/>
                  </w:rPr>
                  <w:t>■</w:t>
                </w:r>
              </w:sdtContent>
            </w:sdt>
            <w:r>
              <w:rPr>
                <w:rFonts w:hint="eastAsia" w:ascii="仿宋_GB2312" w:hAnsi="仿宋_GB2312" w:eastAsia="仿宋_GB2312" w:cs="仿宋_GB2312"/>
                <w:sz w:val="24"/>
              </w:rPr>
              <w:t xml:space="preserve">服务 </w:t>
            </w:r>
            <w:sdt>
              <w:sdtPr>
                <w:rPr>
                  <w:rFonts w:hint="eastAsia" w:ascii="仿宋_GB2312" w:hAnsi="仿宋_GB2312" w:eastAsia="仿宋_GB2312" w:cs="仿宋_GB2312"/>
                  <w:sz w:val="24"/>
                </w:rPr>
                <w:id w:val="147459003"/>
              </w:sdtPr>
              <w:sdtEndPr>
                <w:rPr>
                  <w:rFonts w:hint="eastAsia" w:ascii="仿宋_GB2312" w:hAnsi="仿宋_GB2312" w:eastAsia="仿宋_GB2312" w:cs="仿宋_GB2312"/>
                  <w:sz w:val="24"/>
                </w:rPr>
              </w:sdtEndPr>
              <w:sdtContent>
                <w:r>
                  <w:rPr>
                    <w:rFonts w:hint="eastAsia" w:ascii="MS Mincho" w:hAnsi="MS Mincho" w:eastAsia="MS Mincho" w:cs="MS Mincho"/>
                    <w:sz w:val="24"/>
                  </w:rPr>
                  <w:t>☐</w:t>
                </w:r>
              </w:sdtContent>
            </w:sdt>
            <w:r>
              <w:rPr>
                <w:rFonts w:hint="eastAsia" w:ascii="仿宋_GB2312" w:hAnsi="仿宋_GB2312" w:eastAsia="仿宋_GB2312" w:cs="仿宋_GB2312"/>
                <w:sz w:val="24"/>
              </w:rPr>
              <w:t>工程建设</w:t>
            </w:r>
          </w:p>
        </w:tc>
      </w:tr>
      <w:tr w14:paraId="06A4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879" w:type="pct"/>
            <w:vAlign w:val="center"/>
          </w:tcPr>
          <w:p w14:paraId="4DDD3492">
            <w:pPr>
              <w:spacing w:line="520" w:lineRule="exact"/>
              <w:jc w:val="center"/>
              <w:rPr>
                <w:rFonts w:ascii="仿宋" w:hAnsi="仿宋" w:eastAsia="仿宋"/>
                <w:sz w:val="24"/>
              </w:rPr>
            </w:pPr>
            <w:r>
              <w:rPr>
                <w:rFonts w:hint="eastAsia" w:ascii="仿宋_GB2312" w:hAnsi="仿宋_GB2312" w:eastAsia="仿宋_GB2312" w:cs="仿宋_GB2312"/>
                <w:sz w:val="24"/>
              </w:rPr>
              <w:t>采购项目用途</w:t>
            </w:r>
          </w:p>
        </w:tc>
        <w:tc>
          <w:tcPr>
            <w:tcW w:w="3121" w:type="pct"/>
            <w:vAlign w:val="center"/>
          </w:tcPr>
          <w:p w14:paraId="523166AD">
            <w:pPr>
              <w:pStyle w:val="5"/>
              <w:keepNext w:val="0"/>
              <w:spacing w:line="520" w:lineRule="exact"/>
              <w:outlineLvl w:val="2"/>
              <w:rPr>
                <w:rFonts w:ascii="仿宋" w:hAnsi="仿宋" w:eastAsia="仿宋"/>
                <w:b w:val="0"/>
                <w:bCs w:val="0"/>
                <w:sz w:val="24"/>
                <w:u w:val="single"/>
              </w:rPr>
            </w:pPr>
            <w:r>
              <w:rPr>
                <w:rFonts w:hint="eastAsia" w:ascii="仿宋_GB2312" w:hAnsi="仿宋_GB2312" w:eastAsia="仿宋_GB2312" w:cs="仿宋_GB2312"/>
                <w:b w:val="0"/>
                <w:bCs w:val="0"/>
                <w:sz w:val="24"/>
              </w:rPr>
              <w:t>北航校医院计算机X线断层摄影系统（C</w:t>
            </w:r>
            <w:r>
              <w:rPr>
                <w:rFonts w:ascii="仿宋_GB2312" w:hAnsi="仿宋_GB2312" w:eastAsia="仿宋_GB2312" w:cs="仿宋_GB2312"/>
                <w:b w:val="0"/>
                <w:bCs w:val="0"/>
                <w:sz w:val="24"/>
              </w:rPr>
              <w:t>T</w:t>
            </w:r>
            <w:r>
              <w:rPr>
                <w:rFonts w:hint="eastAsia" w:ascii="仿宋_GB2312" w:hAnsi="仿宋_GB2312" w:eastAsia="仿宋_GB2312" w:cs="仿宋_GB2312"/>
                <w:b w:val="0"/>
                <w:bCs w:val="0"/>
                <w:sz w:val="24"/>
              </w:rPr>
              <w:t>）(开影precision128) 设备保修保养。</w:t>
            </w:r>
          </w:p>
        </w:tc>
      </w:tr>
    </w:tbl>
    <w:p w14:paraId="53BB65CD">
      <w:pPr>
        <w:spacing w:line="520" w:lineRule="exact"/>
        <w:ind w:firstLine="482" w:firstLineChars="200"/>
        <w:rPr>
          <w:rFonts w:ascii="黑体" w:hAnsi="黑体" w:eastAsia="黑体" w:cs="黑体"/>
          <w:b/>
          <w:color w:val="000000" w:themeColor="text1"/>
          <w:kern w:val="0"/>
          <w:sz w:val="24"/>
          <w14:textFill>
            <w14:solidFill>
              <w14:schemeClr w14:val="tx1"/>
            </w14:solidFill>
          </w14:textFill>
        </w:rPr>
      </w:pPr>
      <w:r>
        <w:rPr>
          <w:rFonts w:hint="eastAsia" w:ascii="黑体" w:hAnsi="黑体" w:eastAsia="黑体" w:cs="黑体"/>
          <w:b/>
          <w:color w:val="000000" w:themeColor="text1"/>
          <w:kern w:val="0"/>
          <w:sz w:val="24"/>
          <w14:textFill>
            <w14:solidFill>
              <w14:schemeClr w14:val="tx1"/>
            </w14:solidFill>
          </w14:textFill>
        </w:rPr>
        <w:t>二、采购项目相关要求</w:t>
      </w:r>
    </w:p>
    <w:p w14:paraId="2F77758D">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（一）响应供应商资格条件：</w:t>
      </w:r>
    </w:p>
    <w:p w14:paraId="526B7FA3">
      <w:pPr>
        <w:widowControl/>
        <w:spacing w:line="520" w:lineRule="exact"/>
        <w:ind w:firstLine="480" w:firstLineChars="200"/>
        <w:rPr>
          <w:rFonts w:ascii="仿宋_GB2312" w:hAnsi="仿宋_GB2312" w:eastAsia="仿宋_GB2312" w:cs="仿宋_GB2312"/>
          <w:sz w:val="28"/>
          <w:szCs w:val="28"/>
        </w:rPr>
      </w:pPr>
      <w:r>
        <w:rPr>
          <w:rFonts w:hint="eastAsia" w:ascii="仿宋_GB2312" w:hAnsi="仿宋_GB2312" w:eastAsia="仿宋_GB2312" w:cs="仿宋_GB2312"/>
          <w:sz w:val="24"/>
        </w:rPr>
        <w:t>1、满足《中华人民共和国政府采购法》第二十二条规定；</w:t>
      </w:r>
    </w:p>
    <w:p w14:paraId="4A7C753F">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（1）具有独立承担民事责任的能力；</w:t>
      </w:r>
    </w:p>
    <w:p w14:paraId="2140D808">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（2）具有良好的商业信誉和健全的财务会计制度；</w:t>
      </w:r>
    </w:p>
    <w:p w14:paraId="72EA132E">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（3）具有履行合同所必需的设备和专业技术能力；</w:t>
      </w:r>
    </w:p>
    <w:p w14:paraId="59E0BB8D">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（4）有依法缴纳税收和社会保障资金的良好记录；</w:t>
      </w:r>
    </w:p>
    <w:p w14:paraId="600D26A7">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（5）法律、行政法规规定的其他条件。</w:t>
      </w:r>
    </w:p>
    <w:p w14:paraId="32559EBC">
      <w:pPr>
        <w:widowControl/>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2、落实相关政策的资格要求：</w:t>
      </w:r>
    </w:p>
    <w:p w14:paraId="6635FEB2">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参加采购活动前三年内，在经营活动中没有重大违法记录；即本项目响应截止期前被“信用中国”网站列入失信被执行人和重大税收违法案件当事人名单的、被“中国政府采购网”网站列入政府采购严重违法失信行为记录名单的（处罚期限尚未届满的），不得参与本项目的采购活动。</w:t>
      </w:r>
    </w:p>
    <w:p w14:paraId="46755107">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（2）单位负责人为同一人或者存在直接控股、管理关系的不同供应商，不得同时参加本项目的采购活动。</w:t>
      </w:r>
    </w:p>
    <w:p w14:paraId="3007BB1D">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（3）与采购项目负责人存在利害关系，可能影响采购公平的，不得参加本项目的采购活动。</w:t>
      </w:r>
    </w:p>
    <w:p w14:paraId="62941A92">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（4）不允许联合体响应，不接受分包。</w:t>
      </w:r>
    </w:p>
    <w:p w14:paraId="4300EA41">
      <w:pPr>
        <w:widowControl/>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3、满足本采购项目特殊资格条件：参加本项目的单位需要有开影计算机X线断层摄影系统（C</w:t>
      </w:r>
      <w:r>
        <w:rPr>
          <w:rFonts w:ascii="仿宋_GB2312" w:hAnsi="仿宋_GB2312" w:eastAsia="仿宋_GB2312" w:cs="仿宋_GB2312"/>
          <w:sz w:val="24"/>
        </w:rPr>
        <w:t>T</w:t>
      </w:r>
      <w:r>
        <w:rPr>
          <w:rFonts w:hint="eastAsia" w:ascii="仿宋_GB2312" w:hAnsi="仿宋_GB2312" w:eastAsia="仿宋_GB2312" w:cs="仿宋_GB2312"/>
          <w:sz w:val="24"/>
        </w:rPr>
        <w:t>）厂家维修保养相关授权。</w:t>
      </w:r>
    </w:p>
    <w:p w14:paraId="49F9362A">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（二）评审方法及规则：</w:t>
      </w:r>
    </w:p>
    <w:p w14:paraId="7672632E">
      <w:pPr>
        <w:snapToGrid w:val="0"/>
        <w:spacing w:line="520" w:lineRule="exact"/>
        <w:ind w:firstLine="480" w:firstLineChars="200"/>
        <w:rPr>
          <w:rFonts w:ascii="仿宋_GB2312" w:hAnsi="仿宋_GB2312" w:eastAsia="仿宋_GB2312" w:cs="仿宋_GB2312"/>
          <w:sz w:val="24"/>
        </w:rPr>
      </w:pPr>
      <w:sdt>
        <w:sdtPr>
          <w:rPr>
            <w:rFonts w:hint="eastAsia" w:ascii="仿宋_GB2312" w:hAnsi="仿宋_GB2312" w:eastAsia="仿宋_GB2312" w:cs="仿宋_GB2312"/>
            <w:sz w:val="24"/>
          </w:rPr>
          <w:id w:val="147474232"/>
        </w:sdtPr>
        <w:sdtEndPr>
          <w:rPr>
            <w:rFonts w:hint="eastAsia" w:ascii="仿宋_GB2312" w:hAnsi="仿宋_GB2312" w:eastAsia="仿宋_GB2312" w:cs="仿宋_GB2312"/>
            <w:sz w:val="24"/>
          </w:rPr>
        </w:sdtEndPr>
        <w:sdtContent>
          <w:r>
            <w:rPr>
              <w:rFonts w:hint="eastAsia" w:ascii="MS Gothic" w:hAnsi="MS Gothic" w:eastAsia="仿宋_GB2312" w:cs="仿宋_GB2312"/>
              <w:sz w:val="24"/>
            </w:rPr>
            <w:t>☐</w:t>
          </w:r>
        </w:sdtContent>
      </w:sdt>
      <w:r>
        <w:rPr>
          <w:rFonts w:hint="eastAsia" w:ascii="仿宋_GB2312" w:hAnsi="仿宋_GB2312" w:eastAsia="仿宋_GB2312" w:cs="仿宋_GB2312"/>
          <w:sz w:val="24"/>
        </w:rPr>
        <w:t>综合比较：根据报价材料从品牌、参数、价格、性价比、供货时间及售后服务等方面进行综合比较。</w:t>
      </w:r>
    </w:p>
    <w:p w14:paraId="0F8C8C14">
      <w:pPr>
        <w:snapToGrid w:val="0"/>
        <w:spacing w:line="520" w:lineRule="exact"/>
        <w:ind w:firstLine="480" w:firstLineChars="200"/>
        <w:rPr>
          <w:sz w:val="20"/>
          <w:szCs w:val="22"/>
        </w:rPr>
      </w:pPr>
      <w:r>
        <w:rPr>
          <w:rFonts w:hint="eastAsia" w:ascii="仿宋_GB2312" w:hAnsi="仿宋_GB2312" w:eastAsia="仿宋_GB2312" w:cs="仿宋_GB2312"/>
          <w:sz w:val="24"/>
        </w:rPr>
        <w:t>■最低价：满足技术指标和商务指标实质性需求前提下，</w:t>
      </w:r>
      <w:r>
        <w:rPr>
          <w:rFonts w:hint="eastAsia" w:ascii="仿宋_GB2312" w:hAnsi="仿宋_GB2312" w:eastAsia="仿宋_GB2312" w:cs="仿宋_GB2312"/>
          <w:color w:val="FF0000"/>
          <w:sz w:val="24"/>
        </w:rPr>
        <w:t>单价</w:t>
      </w:r>
      <w:r>
        <w:rPr>
          <w:rFonts w:hint="eastAsia" w:ascii="仿宋_GB2312" w:hAnsi="仿宋_GB2312" w:eastAsia="仿宋_GB2312" w:cs="仿宋_GB2312"/>
          <w:sz w:val="24"/>
        </w:rPr>
        <w:t>最低价成交。</w:t>
      </w:r>
    </w:p>
    <w:p w14:paraId="42686D23">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（三）报名及响应文件递交要求：</w:t>
      </w:r>
    </w:p>
    <w:p w14:paraId="43707BAC">
      <w:pPr>
        <w:snapToGrid w:val="0"/>
        <w:spacing w:line="520" w:lineRule="exact"/>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1、报名方式及截止时间：：</w:t>
      </w:r>
    </w:p>
    <w:p w14:paraId="00FD58C0">
      <w:pPr>
        <w:pStyle w:val="11"/>
        <w:shd w:val="clear" w:color="auto" w:fill="FFFFFF"/>
        <w:spacing w:before="0" w:beforeAutospacing="0" w:after="0" w:afterAutospacing="0" w:line="520" w:lineRule="exact"/>
        <w:ind w:firstLine="480" w:firstLineChars="200"/>
        <w:jc w:val="both"/>
        <w:rPr>
          <w:rFonts w:ascii="仿宋_GB2312" w:hAnsi="仿宋_GB2312" w:eastAsia="仿宋_GB2312" w:cs="仿宋_GB2312"/>
          <w:kern w:val="2"/>
        </w:rPr>
      </w:pPr>
      <w:r>
        <w:rPr>
          <w:rFonts w:hint="eastAsia" w:ascii="仿宋_GB2312" w:hAnsi="仿宋_GB2312" w:eastAsia="仿宋_GB2312" w:cs="仿宋_GB2312"/>
          <w:color w:val="000000" w:themeColor="text1"/>
          <w:kern w:val="2"/>
          <w14:textFill>
            <w14:solidFill>
              <w14:schemeClr w14:val="tx1"/>
            </w14:solidFill>
          </w14:textFill>
        </w:rPr>
        <w:t>报名方式：按照以下要求准备报名信息发送至邮箱</w:t>
      </w:r>
      <w:r>
        <w:rPr>
          <w:rFonts w:hint="eastAsia" w:ascii="仿宋_GB2312" w:hAnsi="仿宋_GB2312" w:eastAsia="仿宋_GB2312" w:cs="仿宋_GB2312"/>
          <w:kern w:val="2"/>
        </w:rPr>
        <w:t>22329730@qq.com（联系电话：82331175 联系人：李老师）</w:t>
      </w:r>
    </w:p>
    <w:p w14:paraId="40BC5217">
      <w:pPr>
        <w:pStyle w:val="11"/>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邮件标题：公司名称+采购项目名称；</w:t>
      </w:r>
    </w:p>
    <w:p w14:paraId="1D18D8E2">
      <w:pPr>
        <w:pStyle w:val="11"/>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邮件内容：需注明公司名称，地址，销售人员全名及联系方式；</w:t>
      </w:r>
    </w:p>
    <w:p w14:paraId="521B0140">
      <w:pPr>
        <w:pStyle w:val="11"/>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附件应包括：法人营业执照扫描件、法人授权书扫描件（含法人及销售人员身份证扫描件）、相应资质证件（如有）扫描件</w:t>
      </w:r>
      <w:r>
        <w:rPr>
          <w:rFonts w:hint="eastAsia" w:ascii="仿宋_GB2312" w:hAnsi="仿宋_GB2312" w:eastAsia="仿宋_GB2312" w:cs="仿宋_GB2312"/>
          <w:color w:val="000000" w:themeColor="text1"/>
          <w:kern w:val="2"/>
          <w:lang w:eastAsia="zh-CN"/>
          <w14:textFill>
            <w14:solidFill>
              <w14:schemeClr w14:val="tx1"/>
            </w14:solidFill>
          </w14:textFill>
        </w:rPr>
        <w:t>、</w:t>
      </w:r>
      <w:r>
        <w:rPr>
          <w:rFonts w:hint="eastAsia" w:ascii="仿宋_GB2312" w:hAnsi="仿宋_GB2312" w:eastAsia="仿宋_GB2312" w:cs="仿宋_GB2312"/>
          <w:b/>
          <w:bCs/>
          <w:color w:val="000000" w:themeColor="text1"/>
          <w:kern w:val="2"/>
          <w:sz w:val="24"/>
          <w:szCs w:val="24"/>
          <w:lang w:val="en-US" w:eastAsia="zh-CN" w:bidi="ar-SA"/>
          <w14:textFill>
            <w14:solidFill>
              <w14:schemeClr w14:val="tx1"/>
            </w14:solidFill>
          </w14:textFill>
        </w:rPr>
        <w:t>原设备制造厂商的服务授权文件（原设备制造厂商无需提供）</w:t>
      </w:r>
      <w:r>
        <w:rPr>
          <w:rFonts w:hint="eastAsia" w:ascii="仿宋_GB2312" w:hAnsi="仿宋_GB2312" w:eastAsia="仿宋_GB2312" w:cs="仿宋_GB2312"/>
          <w:color w:val="000000" w:themeColor="text1"/>
          <w:kern w:val="2"/>
          <w14:textFill>
            <w14:solidFill>
              <w14:schemeClr w14:val="tx1"/>
            </w14:solidFill>
          </w14:textFill>
        </w:rPr>
        <w:t>等整理为同一个PDF文件发送，不符合要求者不予接收；</w:t>
      </w:r>
    </w:p>
    <w:p w14:paraId="6D204DD1">
      <w:pPr>
        <w:snapToGrid w:val="0"/>
        <w:spacing w:line="520" w:lineRule="exact"/>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报名截止时间：</w:t>
      </w: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2026年3月23日17</w:t>
      </w:r>
      <w:bookmarkStart w:id="0" w:name="_GoBack"/>
      <w:bookmarkEnd w:id="0"/>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:00</w:t>
      </w:r>
      <w:r>
        <w:rPr>
          <w:rFonts w:hint="eastAsia" w:ascii="仿宋_GB2312" w:hAnsi="仿宋_GB2312" w:eastAsia="仿宋_GB2312" w:cs="仿宋_GB2312"/>
          <w:color w:val="000000" w:themeColor="text1"/>
          <w:sz w:val="24"/>
          <w14:textFill>
            <w14:solidFill>
              <w14:schemeClr w14:val="tx1"/>
            </w14:solidFill>
          </w14:textFill>
        </w:rPr>
        <w:t>，逾期递交的报名文件恕不接受。</w:t>
      </w:r>
    </w:p>
    <w:p w14:paraId="74BCAF19">
      <w:pPr>
        <w:snapToGrid w:val="0"/>
        <w:spacing w:line="520" w:lineRule="exact"/>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2、响应文件递交方式：</w:t>
      </w:r>
    </w:p>
    <w:p w14:paraId="4746B25F">
      <w:pPr>
        <w:snapToGrid w:val="0"/>
        <w:spacing w:line="520" w:lineRule="exact"/>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竞价会时间确定后，我单位会以邮件及电话形式通知到各个响应供应商。请将纸质版响应文件（正本</w:t>
      </w:r>
      <w:r>
        <w:rPr>
          <w:rFonts w:ascii="仿宋_GB2312" w:hAnsi="仿宋_GB2312" w:eastAsia="仿宋_GB2312" w:cs="仿宋_GB2312"/>
          <w:color w:val="000000" w:themeColor="text1"/>
          <w:sz w:val="24"/>
          <w:u w:val="single"/>
          <w14:textFill>
            <w14:solidFill>
              <w14:schemeClr w14:val="tx1"/>
            </w14:solidFill>
          </w14:textFill>
        </w:rPr>
        <w:t>1</w:t>
      </w:r>
      <w:r>
        <w:rPr>
          <w:rFonts w:hint="eastAsia" w:ascii="仿宋_GB2312" w:hAnsi="仿宋_GB2312" w:eastAsia="仿宋_GB2312" w:cs="仿宋_GB2312"/>
          <w:color w:val="000000" w:themeColor="text1"/>
          <w:sz w:val="24"/>
          <w14:textFill>
            <w14:solidFill>
              <w14:schemeClr w14:val="tx1"/>
            </w14:solidFill>
          </w14:textFill>
        </w:rPr>
        <w:t>份，副本</w:t>
      </w:r>
      <w:r>
        <w:rPr>
          <w:rFonts w:ascii="仿宋_GB2312" w:hAnsi="仿宋_GB2312" w:eastAsia="仿宋_GB2312" w:cs="仿宋_GB2312"/>
          <w:color w:val="000000" w:themeColor="text1"/>
          <w:sz w:val="24"/>
          <w:u w:val="single"/>
          <w14:textFill>
            <w14:solidFill>
              <w14:schemeClr w14:val="tx1"/>
            </w14:solidFill>
          </w14:textFill>
        </w:rPr>
        <w:t>1</w:t>
      </w:r>
      <w:r>
        <w:rPr>
          <w:rFonts w:hint="eastAsia" w:ascii="仿宋_GB2312" w:hAnsi="仿宋_GB2312" w:eastAsia="仿宋_GB2312" w:cs="仿宋_GB2312"/>
          <w:color w:val="000000" w:themeColor="text1"/>
          <w:sz w:val="24"/>
          <w14:textFill>
            <w14:solidFill>
              <w14:schemeClr w14:val="tx1"/>
            </w14:solidFill>
          </w14:textFill>
        </w:rPr>
        <w:t>份）在截止时间之前邮寄/提交至</w:t>
      </w:r>
      <w:r>
        <w:rPr>
          <w:rFonts w:hint="eastAsia" w:ascii="仿宋_GB2312" w:hAnsi="仿宋_GB2312" w:eastAsia="仿宋_GB2312" w:cs="仿宋_GB2312"/>
          <w:color w:val="000000" w:themeColor="text1"/>
          <w:sz w:val="24"/>
          <w:u w:val="single"/>
          <w14:textFill>
            <w14:solidFill>
              <w14:schemeClr w14:val="tx1"/>
            </w14:solidFill>
          </w14:textFill>
        </w:rPr>
        <w:t>北京海淀区学院路37号北航校医院</w:t>
      </w:r>
      <w:r>
        <w:rPr>
          <w:rFonts w:hint="eastAsia" w:ascii="仿宋_GB2312" w:hAnsi="仿宋_GB2312" w:eastAsia="仿宋_GB2312" w:cs="仿宋_GB2312"/>
          <w:color w:val="000000" w:themeColor="text1"/>
          <w:sz w:val="24"/>
          <w14:textFill>
            <w14:solidFill>
              <w14:schemeClr w14:val="tx1"/>
            </w14:solidFill>
          </w14:textFill>
        </w:rPr>
        <w:t>。</w:t>
      </w:r>
    </w:p>
    <w:p w14:paraId="6CDE57A1">
      <w:pPr>
        <w:snapToGrid w:val="0"/>
        <w:spacing w:line="520" w:lineRule="exact"/>
        <w:ind w:firstLine="482" w:firstLineChars="200"/>
        <w:rPr>
          <w:rFonts w:ascii="黑体" w:hAnsi="黑体" w:eastAsia="黑体" w:cs="黑体"/>
          <w:b/>
          <w:color w:val="000000" w:themeColor="text1"/>
          <w:kern w:val="0"/>
          <w:sz w:val="24"/>
          <w14:textFill>
            <w14:solidFill>
              <w14:schemeClr w14:val="tx1"/>
            </w14:solidFill>
          </w14:textFill>
        </w:rPr>
      </w:pPr>
      <w:r>
        <w:rPr>
          <w:rFonts w:hint="eastAsia" w:ascii="黑体" w:hAnsi="黑体" w:eastAsia="黑体" w:cs="黑体"/>
          <w:b/>
          <w:color w:val="000000" w:themeColor="text1"/>
          <w:kern w:val="0"/>
          <w:sz w:val="24"/>
          <w14:textFill>
            <w14:solidFill>
              <w14:schemeClr w14:val="tx1"/>
            </w14:solidFill>
          </w14:textFill>
        </w:rPr>
        <w:t>三、采购项目需实现的功能和目标：</w:t>
      </w:r>
    </w:p>
    <w:p w14:paraId="58587257">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开影计算机X线断层摄影系统（C</w:t>
      </w:r>
      <w:r>
        <w:rPr>
          <w:rFonts w:ascii="仿宋_GB2312" w:hAnsi="仿宋_GB2312" w:eastAsia="仿宋_GB2312" w:cs="仿宋_GB2312"/>
          <w:sz w:val="24"/>
        </w:rPr>
        <w:t>T</w:t>
      </w:r>
      <w:r>
        <w:rPr>
          <w:rFonts w:hint="eastAsia" w:ascii="仿宋_GB2312" w:hAnsi="仿宋_GB2312" w:eastAsia="仿宋_GB2312" w:cs="仿宋_GB2312"/>
          <w:sz w:val="24"/>
        </w:rPr>
        <w:t>）维修保养服务。年度对设备及相关配件进行保修；保证设备开机率在95%以上(含节假日)；年度对设备进行保养，保证设备运转良好。</w:t>
      </w:r>
    </w:p>
    <w:p w14:paraId="3249BEF9">
      <w:pPr>
        <w:numPr>
          <w:ilvl w:val="0"/>
          <w:numId w:val="2"/>
        </w:numPr>
        <w:spacing w:line="520" w:lineRule="exact"/>
        <w:ind w:firstLine="482" w:firstLineChars="200"/>
        <w:rPr>
          <w:rFonts w:hint="eastAsia" w:ascii="黑体" w:hAnsi="黑体" w:eastAsia="黑体" w:cs="黑体"/>
          <w:b/>
          <w:color w:val="000000" w:themeColor="text1"/>
          <w:kern w:val="0"/>
          <w:sz w:val="24"/>
          <w14:textFill>
            <w14:solidFill>
              <w14:schemeClr w14:val="tx1"/>
            </w14:solidFill>
          </w14:textFill>
        </w:rPr>
      </w:pPr>
      <w:r>
        <w:rPr>
          <w:rFonts w:hint="eastAsia" w:ascii="黑体" w:hAnsi="黑体" w:eastAsia="黑体" w:cs="黑体"/>
          <w:b/>
          <w:color w:val="000000" w:themeColor="text1"/>
          <w:kern w:val="0"/>
          <w:sz w:val="24"/>
          <w14:textFill>
            <w14:solidFill>
              <w14:schemeClr w14:val="tx1"/>
            </w14:solidFill>
          </w14:textFill>
        </w:rPr>
        <w:t>采购标的汇总表</w:t>
      </w:r>
    </w:p>
    <w:tbl>
      <w:tblPr>
        <w:tblStyle w:val="13"/>
        <w:tblW w:w="50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2544"/>
        <w:gridCol w:w="1094"/>
        <w:gridCol w:w="1013"/>
        <w:gridCol w:w="1686"/>
        <w:gridCol w:w="1269"/>
      </w:tblGrid>
      <w:tr w14:paraId="398C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494" w:type="pct"/>
            <w:shd w:val="clear" w:color="auto" w:fill="FFFFFF"/>
            <w:tcMar>
              <w:top w:w="0" w:type="dxa"/>
              <w:right w:w="0" w:type="dxa"/>
            </w:tcMar>
            <w:vAlign w:val="center"/>
          </w:tcPr>
          <w:p w14:paraId="6B7CD69A">
            <w:pPr>
              <w:autoSpaceDE w:val="0"/>
              <w:autoSpaceDN w:val="0"/>
              <w:adjustRightInd w:val="0"/>
              <w:spacing w:line="52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序号</w:t>
            </w:r>
          </w:p>
        </w:tc>
        <w:tc>
          <w:tcPr>
            <w:tcW w:w="1506" w:type="pct"/>
            <w:shd w:val="clear" w:color="auto" w:fill="FFFFFF"/>
            <w:tcMar>
              <w:top w:w="0" w:type="dxa"/>
              <w:right w:w="0" w:type="dxa"/>
            </w:tcMar>
            <w:vAlign w:val="center"/>
          </w:tcPr>
          <w:p w14:paraId="2E3702D9">
            <w:pPr>
              <w:autoSpaceDE w:val="0"/>
              <w:autoSpaceDN w:val="0"/>
              <w:adjustRightInd w:val="0"/>
              <w:spacing w:line="52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采购标的名称</w:t>
            </w:r>
          </w:p>
        </w:tc>
        <w:tc>
          <w:tcPr>
            <w:tcW w:w="648" w:type="pct"/>
            <w:shd w:val="clear" w:color="auto" w:fill="FFFFFF"/>
            <w:vAlign w:val="center"/>
          </w:tcPr>
          <w:p w14:paraId="1F17B6AB">
            <w:pPr>
              <w:autoSpaceDE w:val="0"/>
              <w:autoSpaceDN w:val="0"/>
              <w:adjustRightInd w:val="0"/>
              <w:spacing w:line="52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数量</w:t>
            </w:r>
          </w:p>
        </w:tc>
        <w:tc>
          <w:tcPr>
            <w:tcW w:w="600" w:type="pct"/>
            <w:shd w:val="clear" w:color="auto" w:fill="FFFFFF"/>
            <w:tcMar>
              <w:top w:w="0" w:type="dxa"/>
              <w:right w:w="0" w:type="dxa"/>
            </w:tcMar>
            <w:vAlign w:val="center"/>
          </w:tcPr>
          <w:p w14:paraId="4C0F279D">
            <w:pPr>
              <w:autoSpaceDE w:val="0"/>
              <w:autoSpaceDN w:val="0"/>
              <w:adjustRightInd w:val="0"/>
              <w:spacing w:line="52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单位</w:t>
            </w:r>
          </w:p>
        </w:tc>
        <w:tc>
          <w:tcPr>
            <w:tcW w:w="998" w:type="pct"/>
            <w:shd w:val="clear" w:color="auto" w:fill="FFFFFF"/>
            <w:vAlign w:val="center"/>
          </w:tcPr>
          <w:p w14:paraId="2D0FBBE3">
            <w:pPr>
              <w:autoSpaceDE w:val="0"/>
              <w:autoSpaceDN w:val="0"/>
              <w:adjustRightInd w:val="0"/>
              <w:jc w:val="center"/>
              <w:rPr>
                <w:rFonts w:ascii="仿宋_GB2312" w:hAnsi="仿宋_GB2312" w:eastAsia="仿宋_GB2312" w:cs="仿宋_GB2312"/>
                <w:sz w:val="24"/>
              </w:rPr>
            </w:pPr>
            <w:r>
              <w:rPr>
                <w:rFonts w:hint="eastAsia" w:ascii="仿宋_GB2312" w:hAnsi="仿宋_GB2312" w:eastAsia="仿宋_GB2312" w:cs="仿宋_GB2312"/>
                <w:sz w:val="24"/>
              </w:rPr>
              <w:t>预算金额</w:t>
            </w:r>
          </w:p>
          <w:p w14:paraId="17A5BDF0">
            <w:pPr>
              <w:autoSpaceDE w:val="0"/>
              <w:autoSpaceDN w:val="0"/>
              <w:adjustRightInd w:val="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sz w:val="24"/>
              </w:rPr>
              <w:t>（万元）</w:t>
            </w:r>
          </w:p>
        </w:tc>
        <w:tc>
          <w:tcPr>
            <w:tcW w:w="751" w:type="pct"/>
            <w:shd w:val="clear" w:color="auto" w:fill="FFFFFF"/>
            <w:tcMar>
              <w:top w:w="0" w:type="dxa"/>
              <w:right w:w="0" w:type="dxa"/>
            </w:tcMar>
            <w:vAlign w:val="center"/>
          </w:tcPr>
          <w:p w14:paraId="7F14467D">
            <w:pPr>
              <w:autoSpaceDE w:val="0"/>
              <w:autoSpaceDN w:val="0"/>
              <w:adjustRightInd w:val="0"/>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是否接受进口产品</w:t>
            </w:r>
          </w:p>
        </w:tc>
      </w:tr>
      <w:tr w14:paraId="7B99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94" w:type="pct"/>
            <w:shd w:val="clear" w:color="auto" w:fill="FFFFFF"/>
            <w:tcMar>
              <w:top w:w="0" w:type="dxa"/>
              <w:right w:w="0" w:type="dxa"/>
            </w:tcMar>
            <w:vAlign w:val="center"/>
          </w:tcPr>
          <w:p w14:paraId="50C12B89">
            <w:pPr>
              <w:autoSpaceDE w:val="0"/>
              <w:autoSpaceDN w:val="0"/>
              <w:adjustRightInd w:val="0"/>
              <w:spacing w:line="5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506" w:type="pct"/>
            <w:shd w:val="clear" w:color="auto" w:fill="FFFFFF"/>
            <w:tcMar>
              <w:top w:w="0" w:type="dxa"/>
              <w:right w:w="0" w:type="dxa"/>
            </w:tcMar>
            <w:vAlign w:val="center"/>
          </w:tcPr>
          <w:p w14:paraId="7CCB6DFC">
            <w:pPr>
              <w:autoSpaceDE w:val="0"/>
              <w:autoSpaceDN w:val="0"/>
              <w:adjustRightInd w:val="0"/>
              <w:spacing w:line="520" w:lineRule="exact"/>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sz w:val="24"/>
              </w:rPr>
              <w:t>开影计算机X线断层摄影系统（C</w:t>
            </w:r>
            <w:r>
              <w:rPr>
                <w:rFonts w:ascii="仿宋_GB2312" w:hAnsi="仿宋_GB2312" w:eastAsia="仿宋_GB2312" w:cs="仿宋_GB2312"/>
                <w:sz w:val="24"/>
              </w:rPr>
              <w:t>T</w:t>
            </w:r>
            <w:r>
              <w:rPr>
                <w:rFonts w:hint="eastAsia" w:ascii="仿宋_GB2312" w:hAnsi="仿宋_GB2312" w:eastAsia="仿宋_GB2312" w:cs="仿宋_GB2312"/>
                <w:sz w:val="24"/>
              </w:rPr>
              <w:t>）维修保养</w:t>
            </w:r>
            <w:r>
              <w:rPr>
                <w:rFonts w:hint="eastAsia" w:ascii="仿宋_GB2312" w:hAnsi="仿宋_GB2312" w:eastAsia="仿宋_GB2312" w:cs="仿宋_GB2312"/>
                <w:sz w:val="24"/>
                <w:lang w:val="en-US" w:eastAsia="zh-CN"/>
              </w:rPr>
              <w:t>服务</w:t>
            </w:r>
          </w:p>
        </w:tc>
        <w:tc>
          <w:tcPr>
            <w:tcW w:w="648" w:type="pct"/>
            <w:shd w:val="clear" w:color="auto" w:fill="FFFFFF"/>
            <w:vAlign w:val="center"/>
          </w:tcPr>
          <w:p w14:paraId="3443DCBF">
            <w:pPr>
              <w:autoSpaceDE w:val="0"/>
              <w:autoSpaceDN w:val="0"/>
              <w:adjustRightInd w:val="0"/>
              <w:spacing w:line="520" w:lineRule="exact"/>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w:t>
            </w:r>
          </w:p>
        </w:tc>
        <w:tc>
          <w:tcPr>
            <w:tcW w:w="600" w:type="pct"/>
            <w:shd w:val="clear" w:color="auto" w:fill="FFFFFF"/>
            <w:tcMar>
              <w:top w:w="0" w:type="dxa"/>
              <w:right w:w="0" w:type="dxa"/>
            </w:tcMar>
            <w:vAlign w:val="center"/>
          </w:tcPr>
          <w:p w14:paraId="785BECAC">
            <w:pPr>
              <w:autoSpaceDE w:val="0"/>
              <w:autoSpaceDN w:val="0"/>
              <w:adjustRightInd w:val="0"/>
              <w:spacing w:line="520" w:lineRule="exact"/>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套</w:t>
            </w:r>
          </w:p>
        </w:tc>
        <w:tc>
          <w:tcPr>
            <w:tcW w:w="998" w:type="pct"/>
            <w:shd w:val="clear" w:color="auto" w:fill="FFFFFF"/>
            <w:vAlign w:val="center"/>
          </w:tcPr>
          <w:p w14:paraId="70540C7A">
            <w:pPr>
              <w:autoSpaceDE w:val="0"/>
              <w:autoSpaceDN w:val="0"/>
              <w:adjustRightInd w:val="0"/>
              <w:spacing w:line="520" w:lineRule="exact"/>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24</w:t>
            </w:r>
          </w:p>
        </w:tc>
        <w:tc>
          <w:tcPr>
            <w:tcW w:w="751" w:type="pct"/>
            <w:shd w:val="clear" w:color="auto" w:fill="FFFFFF"/>
            <w:tcMar>
              <w:top w:w="0" w:type="dxa"/>
              <w:right w:w="0" w:type="dxa"/>
            </w:tcMar>
            <w:vAlign w:val="center"/>
          </w:tcPr>
          <w:p w14:paraId="4C0EF3EF">
            <w:pPr>
              <w:autoSpaceDE w:val="0"/>
              <w:autoSpaceDN w:val="0"/>
              <w:adjustRightInd w:val="0"/>
              <w:spacing w:line="520" w:lineRule="exact"/>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否</w:t>
            </w:r>
          </w:p>
        </w:tc>
      </w:tr>
    </w:tbl>
    <w:p w14:paraId="3C717833">
      <w:pPr>
        <w:spacing w:line="560" w:lineRule="exact"/>
        <w:ind w:firstLine="480" w:firstLineChars="200"/>
        <w:jc w:val="both"/>
        <w:rPr>
          <w:rFonts w:ascii="仿宋_GB2312" w:hAnsi="仿宋_GB2312" w:eastAsia="仿宋_GB2312" w:cs="仿宋_GB2312"/>
          <w:sz w:val="24"/>
        </w:rPr>
      </w:pPr>
      <w:r>
        <w:rPr>
          <w:rFonts w:hint="eastAsia" w:ascii="仿宋_GB2312" w:hAnsi="仿宋_GB2312" w:eastAsia="仿宋_GB2312" w:cs="仿宋_GB2312"/>
          <w:sz w:val="24"/>
        </w:rPr>
        <w:t>注：进口产品指通过中国海关报关验放进入中国境内且产自境外的产品。</w:t>
      </w:r>
    </w:p>
    <w:p w14:paraId="587E3921">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color w:val="EE0000"/>
          <w:sz w:val="24"/>
        </w:rPr>
        <w:t>★</w:t>
      </w:r>
      <w:r>
        <w:rPr>
          <w:rFonts w:hint="eastAsia" w:ascii="仿宋_GB2312" w:hAnsi="仿宋_GB2312" w:eastAsia="仿宋_GB2312" w:cs="仿宋_GB2312"/>
          <w:sz w:val="24"/>
        </w:rPr>
        <w:t>若供应商所报产品为进口产品，则供应商须具有所报进口产品生产厂家授权文件，否则响应文件无效。授权文件要求如下：由生产厂家或其在国内的授权代理商出具的授权书。</w:t>
      </w:r>
    </w:p>
    <w:p w14:paraId="248059CE">
      <w:pPr>
        <w:pStyle w:val="2"/>
        <w:spacing w:line="560" w:lineRule="exact"/>
        <w:ind w:left="0" w:leftChars="0" w:firstLine="480"/>
        <w:rPr>
          <w:b/>
          <w:bCs/>
        </w:rPr>
      </w:pPr>
      <w:r>
        <w:rPr>
          <w:rFonts w:hint="eastAsia" w:ascii="仿宋_GB2312" w:hAnsi="仿宋_GB2312" w:eastAsia="仿宋_GB2312" w:cs="仿宋_GB2312"/>
          <w:color w:val="EE0000"/>
          <w:sz w:val="24"/>
        </w:rPr>
        <w:t>★</w:t>
      </w:r>
      <w:r>
        <w:rPr>
          <w:rFonts w:hint="eastAsia" w:ascii="仿宋_GB2312" w:hAnsi="仿宋_GB2312" w:eastAsia="仿宋_GB2312" w:cs="仿宋_GB2312"/>
          <w:b/>
          <w:bCs/>
          <w:color w:val="000000" w:themeColor="text1"/>
          <w:sz w:val="24"/>
          <w14:textFill>
            <w14:solidFill>
              <w14:schemeClr w14:val="tx1"/>
            </w14:solidFill>
          </w14:textFill>
        </w:rPr>
        <w:t>响应文件中应根据汇总表提供采购标的报价单（模板见附件）。</w:t>
      </w:r>
    </w:p>
    <w:p w14:paraId="5CBC351B">
      <w:pPr>
        <w:spacing w:line="520" w:lineRule="exact"/>
        <w:ind w:firstLine="482" w:firstLineChars="200"/>
        <w:rPr>
          <w:rFonts w:ascii="黑体" w:hAnsi="黑体" w:eastAsia="黑体" w:cs="黑体"/>
          <w:b/>
          <w:color w:val="000000" w:themeColor="text1"/>
          <w:kern w:val="0"/>
          <w:sz w:val="24"/>
          <w14:textFill>
            <w14:solidFill>
              <w14:schemeClr w14:val="tx1"/>
            </w14:solidFill>
          </w14:textFill>
        </w:rPr>
      </w:pPr>
      <w:r>
        <w:rPr>
          <w:rFonts w:hint="eastAsia" w:ascii="黑体" w:hAnsi="黑体" w:eastAsia="黑体" w:cs="黑体"/>
          <w:b/>
          <w:color w:val="000000" w:themeColor="text1"/>
          <w:kern w:val="0"/>
          <w:sz w:val="24"/>
          <w14:textFill>
            <w14:solidFill>
              <w14:schemeClr w14:val="tx1"/>
            </w14:solidFill>
          </w14:textFill>
        </w:rPr>
        <w:t>五、技术要求与商务要求</w:t>
      </w:r>
      <w:r>
        <w:rPr>
          <w:sz w:val="20"/>
          <w:szCs w:val="22"/>
        </w:rPr>
        <w:commentReference w:id="0"/>
      </w:r>
    </w:p>
    <w:p w14:paraId="48B1F617">
      <w:pPr>
        <w:snapToGrid w:val="0"/>
        <w:spacing w:line="52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技术指标和商务要求分为关键指标和一般指标。标“★”代表关键指标，不满足该指标将导致响应被拒绝；无标识则表示一般指标。对于关键指标，</w:t>
      </w:r>
      <w:r>
        <w:rPr>
          <w:rFonts w:hint="eastAsia" w:ascii="仿宋_GB2312" w:hAnsi="仿宋_GB2312" w:eastAsia="仿宋_GB2312" w:cs="仿宋_GB2312"/>
          <w:sz w:val="24"/>
        </w:rPr>
        <w:t>响应人需提供所投产品的第三方检测报告或技术白皮书或技术彩页或官网截图或其他证明文件以证明投标参数符合技术要求，未提供有效证明材料或证明材料中内容与所填报指标不一致的视为不满足。</w:t>
      </w:r>
    </w:p>
    <w:p w14:paraId="17B129EC">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（一）技术要求</w:t>
      </w:r>
    </w:p>
    <w:p w14:paraId="398CDF20">
      <w:pPr>
        <w:snapToGrid w:val="0"/>
        <w:spacing w:line="48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1、设备保修需满足以下要求：</w:t>
      </w:r>
    </w:p>
    <w:p w14:paraId="0CEAF4B2">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整机全保服务：含探测器、高压发生器在内的保修（包括所有配件、劳务、差旅、税费等费用），设备保修服务包括但不限于技术服务，各功能控制电路主板以及配套的各种应用软件（包括工作站软、硬件），电脑主机及零配件，操作台主机及零配件，机架系统，曝光系统，供电系统，扫描床以及其他所有零配件等。</w:t>
      </w:r>
    </w:p>
    <w:p w14:paraId="6F7BC0E9">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（2）不包含在本次维保范围内的有球管、第三方设备、高压注射器、稳压电源等。</w:t>
      </w:r>
    </w:p>
    <w:p w14:paraId="6997FA22">
      <w:pPr>
        <w:spacing w:line="480" w:lineRule="exact"/>
        <w:ind w:firstLine="480" w:firstLineChars="200"/>
        <w:rPr>
          <w:rFonts w:hint="eastAsia" w:ascii="仿宋_GB2312" w:hAnsi="仿宋_GB2312" w:eastAsia="仿宋_GB2312" w:cs="仿宋_GB2312"/>
          <w:b w:val="0"/>
          <w:bCs w:val="0"/>
          <w:sz w:val="24"/>
          <w:lang w:eastAsia="zh-CN"/>
        </w:rPr>
      </w:pPr>
      <w:r>
        <w:rPr>
          <w:rFonts w:hint="eastAsia" w:ascii="仿宋_GB2312" w:hAnsi="仿宋_GB2312" w:eastAsia="仿宋_GB2312" w:cs="仿宋_GB2312"/>
          <w:b w:val="0"/>
          <w:bCs w:val="0"/>
          <w:sz w:val="24"/>
          <w:lang w:val="en-US" w:eastAsia="zh-CN"/>
        </w:rPr>
        <w:t>2、</w:t>
      </w:r>
      <w:r>
        <w:rPr>
          <w:rFonts w:hint="eastAsia" w:ascii="仿宋_GB2312" w:hAnsi="仿宋_GB2312" w:eastAsia="仿宋_GB2312" w:cs="仿宋_GB2312"/>
          <w:b w:val="0"/>
          <w:bCs w:val="0"/>
          <w:sz w:val="24"/>
        </w:rPr>
        <w:t>维保服务详细要求</w:t>
      </w:r>
      <w:r>
        <w:rPr>
          <w:rFonts w:hint="eastAsia" w:ascii="仿宋_GB2312" w:hAnsi="仿宋_GB2312" w:eastAsia="仿宋_GB2312" w:cs="仿宋_GB2312"/>
          <w:b w:val="0"/>
          <w:bCs w:val="0"/>
          <w:sz w:val="24"/>
          <w:lang w:eastAsia="zh-CN"/>
        </w:rPr>
        <w:t>：</w:t>
      </w:r>
    </w:p>
    <w:p w14:paraId="486DC31E">
      <w:pPr>
        <w:pStyle w:val="35"/>
        <w:spacing w:line="480" w:lineRule="exact"/>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（1）</w:t>
      </w:r>
      <w:r>
        <w:rPr>
          <w:rFonts w:hint="eastAsia" w:ascii="仿宋_GB2312" w:hAnsi="仿宋_GB2312" w:eastAsia="仿宋_GB2312" w:cs="仿宋_GB2312"/>
          <w:szCs w:val="24"/>
          <w:lang w:val="en-US"/>
        </w:rPr>
        <w:t>维修服务方案提供</w:t>
      </w:r>
    </w:p>
    <w:p w14:paraId="2807742F">
      <w:pPr>
        <w:pStyle w:val="35"/>
        <w:spacing w:line="480" w:lineRule="exact"/>
        <w:rPr>
          <w:rFonts w:ascii="仿宋_GB2312" w:hAnsi="仿宋_GB2312" w:eastAsia="仿宋_GB2312" w:cs="仿宋_GB2312"/>
          <w:szCs w:val="24"/>
          <w:lang w:val="en-US"/>
        </w:rPr>
      </w:pPr>
      <w:r>
        <w:rPr>
          <w:rFonts w:hint="eastAsia" w:ascii="仿宋_GB2312" w:hAnsi="仿宋_GB2312" w:eastAsia="仿宋_GB2312" w:cs="仿宋_GB2312"/>
          <w:szCs w:val="24"/>
          <w:lang w:val="en-US"/>
        </w:rPr>
        <w:t>供应商应承诺按照国家、行业标准规定，出具一项完善、合理和可行的维保服务方案，方案中应体现针对本项目的设备进行系统、全面维保所必须的具体措施，人员配置，质量保证、时间安排等内容，以使设备高效、正常运作，确保设备达到临床应用要求。</w:t>
      </w:r>
    </w:p>
    <w:p w14:paraId="4476355B">
      <w:pPr>
        <w:pStyle w:val="35"/>
        <w:spacing w:line="480" w:lineRule="exact"/>
        <w:rPr>
          <w:rFonts w:ascii="仿宋_GB2312" w:hAnsi="仿宋_GB2312" w:eastAsia="仿宋_GB2312" w:cs="仿宋_GB2312"/>
          <w:szCs w:val="24"/>
          <w:lang w:val="en-US"/>
        </w:rPr>
      </w:pPr>
      <w:r>
        <w:rPr>
          <w:rFonts w:hint="eastAsia" w:ascii="仿宋_GB2312" w:hAnsi="仿宋_GB2312" w:eastAsia="仿宋_GB2312" w:cs="仿宋_GB2312"/>
          <w:szCs w:val="24"/>
          <w:lang w:val="en-US" w:eastAsia="zh-CN"/>
        </w:rPr>
        <w:t>（2）</w:t>
      </w:r>
      <w:r>
        <w:rPr>
          <w:rFonts w:hint="eastAsia" w:ascii="仿宋_GB2312" w:hAnsi="仿宋_GB2312" w:eastAsia="仿宋_GB2312" w:cs="仿宋_GB2312"/>
          <w:szCs w:val="24"/>
          <w:lang w:val="en-US"/>
        </w:rPr>
        <w:t>配件保障</w:t>
      </w:r>
    </w:p>
    <w:p w14:paraId="2B8DF2B1">
      <w:pPr>
        <w:pStyle w:val="35"/>
        <w:spacing w:line="480" w:lineRule="exact"/>
        <w:rPr>
          <w:rFonts w:ascii="仿宋_GB2312" w:hAnsi="仿宋_GB2312" w:eastAsia="仿宋_GB2312" w:cs="仿宋_GB2312"/>
          <w:szCs w:val="24"/>
          <w:lang w:val="en-US"/>
        </w:rPr>
      </w:pPr>
      <w:r>
        <w:rPr>
          <w:rFonts w:hint="eastAsia" w:ascii="仿宋_GB2312" w:hAnsi="仿宋_GB2312" w:eastAsia="仿宋_GB2312" w:cs="仿宋_GB2312"/>
          <w:szCs w:val="24"/>
          <w:lang w:val="en-US"/>
        </w:rPr>
        <w:t>供应商所提供的零配件具有规范的进货渠道，所有零配件为原厂原装全新配件，进口配件需提供报关证明，重要部件需提供出厂检测报告，所有更换配件应与机器匹配，确保维保后设备质量达到厂家性能指标，并符合法定部门检测要求。</w:t>
      </w:r>
    </w:p>
    <w:p w14:paraId="458B9DD4">
      <w:pPr>
        <w:pStyle w:val="35"/>
        <w:spacing w:line="480" w:lineRule="exact"/>
        <w:rPr>
          <w:rFonts w:ascii="仿宋_GB2312" w:hAnsi="仿宋_GB2312" w:eastAsia="仿宋_GB2312" w:cs="仿宋_GB2312"/>
          <w:szCs w:val="24"/>
          <w:lang w:val="en-US"/>
        </w:rPr>
      </w:pPr>
      <w:r>
        <w:rPr>
          <w:rFonts w:hint="eastAsia" w:ascii="仿宋_GB2312" w:hAnsi="仿宋_GB2312" w:eastAsia="仿宋_GB2312" w:cs="仿宋_GB2312"/>
          <w:szCs w:val="24"/>
          <w:lang w:val="en-US"/>
        </w:rPr>
        <w:t>（</w:t>
      </w:r>
      <w:r>
        <w:rPr>
          <w:rFonts w:hint="eastAsia" w:ascii="仿宋_GB2312" w:hAnsi="仿宋_GB2312" w:eastAsia="仿宋_GB2312" w:cs="仿宋_GB2312"/>
          <w:szCs w:val="24"/>
          <w:lang w:val="en-US" w:eastAsia="zh-CN"/>
        </w:rPr>
        <w:t>3</w:t>
      </w:r>
      <w:r>
        <w:rPr>
          <w:rFonts w:hint="eastAsia" w:ascii="仿宋_GB2312" w:hAnsi="仿宋_GB2312" w:eastAsia="仿宋_GB2312" w:cs="仿宋_GB2312"/>
          <w:szCs w:val="24"/>
          <w:lang w:val="en-US"/>
        </w:rPr>
        <w:t>）人员保障</w:t>
      </w:r>
    </w:p>
    <w:p w14:paraId="4D711BDD">
      <w:pPr>
        <w:pStyle w:val="35"/>
        <w:spacing w:line="480" w:lineRule="exact"/>
        <w:rPr>
          <w:rFonts w:ascii="仿宋_GB2312" w:hAnsi="仿宋_GB2312" w:eastAsia="仿宋_GB2312" w:cs="仿宋_GB2312"/>
          <w:szCs w:val="24"/>
          <w:lang w:val="en-US"/>
        </w:rPr>
      </w:pPr>
      <w:r>
        <w:rPr>
          <w:rFonts w:hint="eastAsia" w:ascii="仿宋_GB2312" w:hAnsi="仿宋_GB2312" w:eastAsia="仿宋_GB2312" w:cs="仿宋_GB2312"/>
          <w:szCs w:val="24"/>
          <w:lang w:val="en-US"/>
        </w:rPr>
        <w:t>供应商应具有强大技术保障团队，具有承担本项目所必须的专业技术工程师人数≥2名，工程师经原厂技术培训并获得资格认定。</w:t>
      </w:r>
    </w:p>
    <w:p w14:paraId="51502A76">
      <w:pPr>
        <w:pStyle w:val="35"/>
        <w:spacing w:line="480" w:lineRule="exact"/>
        <w:rPr>
          <w:rFonts w:ascii="仿宋_GB2312" w:hAnsi="仿宋_GB2312" w:eastAsia="仿宋_GB2312" w:cs="仿宋_GB2312"/>
          <w:szCs w:val="24"/>
          <w:lang w:val="en-US"/>
        </w:rPr>
      </w:pPr>
      <w:r>
        <w:rPr>
          <w:rFonts w:hint="eastAsia" w:ascii="仿宋_GB2312" w:hAnsi="仿宋_GB2312" w:eastAsia="仿宋_GB2312" w:cs="仿宋_GB2312"/>
          <w:szCs w:val="24"/>
          <w:lang w:val="en-US"/>
        </w:rPr>
        <w:t>（</w:t>
      </w:r>
      <w:r>
        <w:rPr>
          <w:rFonts w:hint="eastAsia" w:ascii="仿宋_GB2312" w:hAnsi="仿宋_GB2312" w:eastAsia="仿宋_GB2312" w:cs="仿宋_GB2312"/>
          <w:szCs w:val="24"/>
          <w:lang w:val="en-US" w:eastAsia="zh-CN"/>
        </w:rPr>
        <w:t>4</w:t>
      </w:r>
      <w:r>
        <w:rPr>
          <w:rFonts w:hint="eastAsia" w:ascii="仿宋_GB2312" w:hAnsi="仿宋_GB2312" w:eastAsia="仿宋_GB2312" w:cs="仿宋_GB2312"/>
          <w:szCs w:val="24"/>
          <w:lang w:val="en-US"/>
        </w:rPr>
        <w:t>）质量保障</w:t>
      </w:r>
    </w:p>
    <w:p w14:paraId="33EA6CFC">
      <w:pPr>
        <w:pStyle w:val="35"/>
        <w:spacing w:line="480" w:lineRule="exact"/>
        <w:rPr>
          <w:rFonts w:ascii="仿宋_GB2312" w:hAnsi="仿宋_GB2312" w:eastAsia="仿宋_GB2312" w:cs="仿宋_GB2312"/>
          <w:szCs w:val="24"/>
          <w:lang w:val="en-US"/>
        </w:rPr>
      </w:pPr>
      <w:r>
        <w:rPr>
          <w:rFonts w:hint="eastAsia" w:ascii="仿宋_GB2312" w:hAnsi="仿宋_GB2312" w:eastAsia="仿宋_GB2312" w:cs="仿宋_GB2312"/>
          <w:szCs w:val="24"/>
          <w:lang w:val="en-US"/>
        </w:rPr>
        <w:t>服务期内，供应商应承诺提供完善的质量保证措施，对维保设备提供每年至少2次定期维护、保养、校正服务（PM SERVICE），包括设备安全检查、质量检查、状态检查、除尘保养等等，确保设备处于正常工作状态，并符合计量检测与射线设备质量控制检测要求。定期维护结束后一周内，向用户方提交详细的检查报告。合同服务期内须提供每个年度服务报告。</w:t>
      </w:r>
    </w:p>
    <w:p w14:paraId="599C8647">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）预防性维护保养要求</w:t>
      </w:r>
    </w:p>
    <w:p w14:paraId="51BC9DB7">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确定预防性维护的具体内容、周期并制定相应计划与流程，根据计划实施预防性维护并做好相应记录。</w:t>
      </w:r>
    </w:p>
    <w:p w14:paraId="7CC498A9">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val="en-US" w:eastAsia="zh-CN"/>
        </w:rPr>
        <w:t>A.</w:t>
      </w:r>
      <w:r>
        <w:rPr>
          <w:rFonts w:hint="eastAsia" w:ascii="仿宋_GB2312" w:hAnsi="仿宋_GB2312" w:eastAsia="仿宋_GB2312" w:cs="仿宋_GB2312"/>
          <w:sz w:val="24"/>
        </w:rPr>
        <w:t>一级保养</w:t>
      </w:r>
    </w:p>
    <w:p w14:paraId="554F3BBF">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主要是对设备外观检查、内部清洁，检查有无异常情况(如声音、湿度、指示灯等)，局部检查和调整，清除机器内灰尘，清洁电路板脚的氧化层相关电位器的清洁以及医疗设备灰尘的清洁。</w:t>
      </w:r>
    </w:p>
    <w:p w14:paraId="23E3F76C">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val="en-US" w:eastAsia="zh-CN"/>
        </w:rPr>
        <w:t>B.</w:t>
      </w:r>
      <w:r>
        <w:rPr>
          <w:rFonts w:hint="eastAsia" w:ascii="仿宋_GB2312" w:hAnsi="仿宋_GB2312" w:eastAsia="仿宋_GB2312" w:cs="仿宋_GB2312"/>
          <w:sz w:val="24"/>
        </w:rPr>
        <w:t>二级保养</w:t>
      </w:r>
    </w:p>
    <w:p w14:paraId="611EC5AE">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对设备的主体部分或主要组件进行检查，调整精度，必要时更换已达到磨损限度的机械易损部件，抽样检查一些性能变差的电子元器件(电位器、电容、电阻等)，提前更换。设备进行保养完成并记录在案。</w:t>
      </w:r>
    </w:p>
    <w:p w14:paraId="617879E0">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val="en-US" w:eastAsia="zh-CN"/>
        </w:rPr>
        <w:t>C.</w:t>
      </w:r>
      <w:r>
        <w:rPr>
          <w:rFonts w:hint="eastAsia" w:ascii="仿宋_GB2312" w:hAnsi="仿宋_GB2312" w:eastAsia="仿宋_GB2312" w:cs="仿宋_GB2312"/>
          <w:sz w:val="24"/>
        </w:rPr>
        <w:t>三级维保：预防性维护保养(PM)每年2次</w:t>
      </w:r>
    </w:p>
    <w:p w14:paraId="5E56B22A">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委派具有相关资质的工程师，按设备管理要求进行预防性维护保养。</w:t>
      </w:r>
    </w:p>
    <w:p w14:paraId="2CC71180">
      <w:pPr>
        <w:numPr>
          <w:ilvl w:val="0"/>
          <w:numId w:val="3"/>
        </w:numPr>
        <w:spacing w:line="480" w:lineRule="exact"/>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rPr>
        <w:t>维护间隔：每半年一次。</w:t>
      </w:r>
    </w:p>
    <w:p w14:paraId="1A9C56B6">
      <w:pPr>
        <w:numPr>
          <w:ilvl w:val="0"/>
          <w:numId w:val="3"/>
        </w:numPr>
        <w:spacing w:line="480" w:lineRule="exact"/>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rPr>
        <w:t>出具报告：维修维护记录书面报告呈医院设备管理部门(由具备资质工程师签名)。</w:t>
      </w:r>
    </w:p>
    <w:p w14:paraId="7F8953DE">
      <w:pPr>
        <w:numPr>
          <w:ilvl w:val="0"/>
          <w:numId w:val="3"/>
        </w:numPr>
        <w:spacing w:line="480" w:lineRule="exact"/>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PM标签：黏贴在设备上(检验时间、检测人员、下次检验时间)。</w:t>
      </w:r>
    </w:p>
    <w:p w14:paraId="09FD8AE1">
      <w:pPr>
        <w:numPr>
          <w:ilvl w:val="0"/>
          <w:numId w:val="3"/>
        </w:numPr>
        <w:spacing w:line="480" w:lineRule="exact"/>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rPr>
        <w:t>PM内容：按照预防性维护SOP执行。</w:t>
      </w:r>
    </w:p>
    <w:p w14:paraId="2018DCC7">
      <w:pPr>
        <w:numPr>
          <w:ilvl w:val="0"/>
          <w:numId w:val="3"/>
        </w:numPr>
        <w:spacing w:line="480" w:lineRule="exact"/>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rPr>
        <w:t>将PM报告填写好设备维修维护纸质档案。</w:t>
      </w:r>
    </w:p>
    <w:p w14:paraId="71D7DE5A">
      <w:pPr>
        <w:pStyle w:val="35"/>
        <w:spacing w:line="480" w:lineRule="exact"/>
        <w:rPr>
          <w:rFonts w:ascii="仿宋_GB2312" w:hAnsi="仿宋_GB2312" w:eastAsia="仿宋_GB2312" w:cs="仿宋_GB2312"/>
          <w:szCs w:val="24"/>
          <w:lang w:val="en-US"/>
        </w:rPr>
      </w:pPr>
      <w:r>
        <w:rPr>
          <w:rFonts w:hint="eastAsia" w:ascii="仿宋_GB2312" w:hAnsi="仿宋_GB2312" w:eastAsia="仿宋_GB2312" w:cs="仿宋_GB2312"/>
          <w:szCs w:val="24"/>
          <w:lang w:val="en-US"/>
        </w:rPr>
        <w:t>（</w:t>
      </w:r>
      <w:r>
        <w:rPr>
          <w:rFonts w:hint="eastAsia" w:ascii="仿宋_GB2312" w:hAnsi="仿宋_GB2312" w:eastAsia="仿宋_GB2312" w:cs="仿宋_GB2312"/>
          <w:szCs w:val="24"/>
          <w:lang w:val="en-US" w:eastAsia="zh-CN"/>
        </w:rPr>
        <w:t>6</w:t>
      </w:r>
      <w:r>
        <w:rPr>
          <w:rFonts w:hint="eastAsia" w:ascii="仿宋_GB2312" w:hAnsi="仿宋_GB2312" w:eastAsia="仿宋_GB2312" w:cs="仿宋_GB2312"/>
          <w:szCs w:val="24"/>
          <w:lang w:val="en-US"/>
        </w:rPr>
        <w:t>）响应保障</w:t>
      </w:r>
    </w:p>
    <w:p w14:paraId="1B47E9CF">
      <w:pPr>
        <w:pStyle w:val="35"/>
        <w:spacing w:line="480" w:lineRule="exact"/>
        <w:rPr>
          <w:rFonts w:ascii="仿宋_GB2312" w:hAnsi="仿宋_GB2312" w:eastAsia="仿宋_GB2312" w:cs="仿宋_GB2312"/>
          <w:szCs w:val="24"/>
          <w:lang w:val="en-US"/>
        </w:rPr>
      </w:pPr>
      <w:r>
        <w:rPr>
          <w:rFonts w:hint="eastAsia" w:ascii="仿宋_GB2312" w:hAnsi="仿宋_GB2312" w:eastAsia="仿宋_GB2312" w:cs="仿宋_GB2312"/>
          <w:szCs w:val="24"/>
          <w:lang w:val="en-US" w:eastAsia="zh-CN"/>
        </w:rPr>
        <w:t>A.</w:t>
      </w:r>
      <w:r>
        <w:rPr>
          <w:rFonts w:hint="eastAsia" w:ascii="仿宋_GB2312" w:hAnsi="仿宋_GB2312" w:eastAsia="仿宋_GB2312" w:cs="仿宋_GB2312"/>
          <w:szCs w:val="24"/>
          <w:lang w:val="en-US"/>
        </w:rPr>
        <w:t>提供24小时免费维修服务热线，嵌入式远程在线技术咨询和维修诊断。</w:t>
      </w:r>
    </w:p>
    <w:p w14:paraId="1F680C0E">
      <w:pPr>
        <w:pStyle w:val="35"/>
        <w:spacing w:line="480" w:lineRule="exact"/>
        <w:rPr>
          <w:rFonts w:ascii="仿宋_GB2312" w:hAnsi="仿宋_GB2312" w:eastAsia="仿宋_GB2312" w:cs="仿宋_GB2312"/>
          <w:szCs w:val="24"/>
          <w:lang w:val="en-US"/>
        </w:rPr>
      </w:pPr>
      <w:r>
        <w:rPr>
          <w:rFonts w:hint="eastAsia" w:ascii="仿宋_GB2312" w:hAnsi="仿宋_GB2312" w:eastAsia="仿宋_GB2312" w:cs="仿宋_GB2312"/>
          <w:szCs w:val="24"/>
          <w:lang w:val="en-US" w:eastAsia="zh-CN"/>
        </w:rPr>
        <w:t>B.</w:t>
      </w:r>
      <w:r>
        <w:rPr>
          <w:rFonts w:hint="eastAsia" w:ascii="仿宋_GB2312" w:hAnsi="仿宋_GB2312" w:eastAsia="仿宋_GB2312" w:cs="仿宋_GB2312"/>
          <w:szCs w:val="24"/>
          <w:lang w:val="en-US"/>
        </w:rPr>
        <w:t>服务响应时间：设备发生故障时，供应商须立即响应，提供电话、网络等技术支持。如以上技术支持4小时内无法解决设备故障，供应商须在24小时内到达设备使用现场进行维修，对故障件免费提供备件支持，并负责故障件更换直至排除故障。</w:t>
      </w:r>
    </w:p>
    <w:p w14:paraId="58275273">
      <w:pPr>
        <w:pStyle w:val="35"/>
        <w:spacing w:line="480" w:lineRule="exact"/>
        <w:rPr>
          <w:rFonts w:ascii="仿宋_GB2312" w:hAnsi="仿宋_GB2312" w:eastAsia="仿宋_GB2312" w:cs="仿宋_GB2312"/>
          <w:szCs w:val="24"/>
          <w:lang w:val="en-US"/>
        </w:rPr>
      </w:pPr>
      <w:r>
        <w:rPr>
          <w:rFonts w:hint="eastAsia" w:ascii="仿宋_GB2312" w:hAnsi="仿宋_GB2312" w:eastAsia="仿宋_GB2312" w:cs="仿宋_GB2312"/>
          <w:szCs w:val="24"/>
          <w:lang w:val="en-US"/>
        </w:rPr>
        <w:t>（</w:t>
      </w:r>
      <w:r>
        <w:rPr>
          <w:rFonts w:hint="eastAsia" w:ascii="仿宋_GB2312" w:hAnsi="仿宋_GB2312" w:eastAsia="仿宋_GB2312" w:cs="仿宋_GB2312"/>
          <w:szCs w:val="24"/>
          <w:lang w:val="en-US" w:eastAsia="zh-CN"/>
        </w:rPr>
        <w:t>7</w:t>
      </w:r>
      <w:r>
        <w:rPr>
          <w:rFonts w:hint="eastAsia" w:ascii="仿宋_GB2312" w:hAnsi="仿宋_GB2312" w:eastAsia="仿宋_GB2312" w:cs="仿宋_GB2312"/>
          <w:szCs w:val="24"/>
          <w:lang w:val="en-US"/>
        </w:rPr>
        <w:t>）开机保障</w:t>
      </w:r>
    </w:p>
    <w:p w14:paraId="02A88E30">
      <w:pPr>
        <w:pStyle w:val="35"/>
        <w:spacing w:line="480" w:lineRule="exact"/>
        <w:rPr>
          <w:rFonts w:ascii="仿宋_GB2312" w:hAnsi="仿宋_GB2312" w:eastAsia="仿宋_GB2312" w:cs="仿宋_GB2312"/>
          <w:szCs w:val="24"/>
          <w:lang w:val="en-US"/>
        </w:rPr>
      </w:pPr>
      <w:r>
        <w:rPr>
          <w:rFonts w:hint="eastAsia" w:ascii="仿宋_GB2312" w:hAnsi="仿宋_GB2312" w:eastAsia="仿宋_GB2312" w:cs="仿宋_GB2312"/>
          <w:szCs w:val="24"/>
          <w:lang w:val="en-US"/>
        </w:rPr>
        <w:t>设备开机率全年须达到95%以上（以365天计算），对于开机率低于95%的每一个百分点（不足一个百分点按一个百分点计算），合同期限将相应延长10天，以此类推。</w:t>
      </w:r>
    </w:p>
    <w:p w14:paraId="6E254C95">
      <w:pPr>
        <w:pStyle w:val="35"/>
        <w:spacing w:line="480" w:lineRule="exact"/>
        <w:rPr>
          <w:rFonts w:ascii="仿宋_GB2312" w:hAnsi="仿宋_GB2312" w:eastAsia="仿宋_GB2312" w:cs="仿宋_GB2312"/>
          <w:szCs w:val="24"/>
          <w:lang w:val="en-US"/>
        </w:rPr>
      </w:pPr>
      <w:r>
        <w:rPr>
          <w:rFonts w:hint="eastAsia" w:ascii="仿宋_GB2312" w:hAnsi="仿宋_GB2312" w:eastAsia="仿宋_GB2312" w:cs="仿宋_GB2312"/>
          <w:szCs w:val="24"/>
          <w:lang w:val="en-US"/>
        </w:rPr>
        <w:t>（</w:t>
      </w:r>
      <w:r>
        <w:rPr>
          <w:rFonts w:hint="eastAsia" w:ascii="仿宋_GB2312" w:hAnsi="仿宋_GB2312" w:eastAsia="仿宋_GB2312" w:cs="仿宋_GB2312"/>
          <w:szCs w:val="24"/>
          <w:lang w:val="en-US" w:eastAsia="zh-CN"/>
        </w:rPr>
        <w:t>8</w:t>
      </w:r>
      <w:r>
        <w:rPr>
          <w:rFonts w:hint="eastAsia" w:ascii="仿宋_GB2312" w:hAnsi="仿宋_GB2312" w:eastAsia="仿宋_GB2312" w:cs="仿宋_GB2312"/>
          <w:szCs w:val="24"/>
          <w:lang w:val="en-US"/>
        </w:rPr>
        <w:t>）升级服务</w:t>
      </w:r>
    </w:p>
    <w:p w14:paraId="14742A3E">
      <w:pPr>
        <w:pStyle w:val="35"/>
        <w:spacing w:line="480" w:lineRule="exact"/>
        <w:rPr>
          <w:rFonts w:ascii="仿宋_GB2312" w:hAnsi="仿宋_GB2312" w:eastAsia="仿宋_GB2312" w:cs="仿宋_GB2312"/>
          <w:szCs w:val="24"/>
          <w:lang w:val="en-US"/>
        </w:rPr>
      </w:pPr>
      <w:r>
        <w:rPr>
          <w:rFonts w:hint="eastAsia" w:ascii="仿宋_GB2312" w:hAnsi="仿宋_GB2312" w:eastAsia="仿宋_GB2312" w:cs="仿宋_GB2312"/>
          <w:szCs w:val="24"/>
          <w:lang w:val="en-US"/>
        </w:rPr>
        <w:t>在服务期内，如设备厂家有免费软件（指设备的稳定性软件，非功能选件）升级服务时，供应商应提供升级服务，升级费用包含在本次维保服务价格内。</w:t>
      </w:r>
    </w:p>
    <w:p w14:paraId="3201EE7F">
      <w:pPr>
        <w:snapToGrid w:val="0"/>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sz w:val="24"/>
        </w:rPr>
        <w:t>（二）</w:t>
      </w:r>
      <w:r>
        <w:rPr>
          <w:rFonts w:hint="eastAsia" w:ascii="仿宋_GB2312" w:hAnsi="仿宋_GB2312" w:eastAsia="仿宋_GB2312" w:cs="仿宋_GB2312"/>
          <w:b/>
          <w:bCs/>
          <w:sz w:val="24"/>
        </w:rPr>
        <w:t>商务要求：</w:t>
      </w:r>
    </w:p>
    <w:p w14:paraId="2B6E4575">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1、交付时间（服务期限）：1年</w:t>
      </w:r>
    </w:p>
    <w:p w14:paraId="082B1C36">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合同签订后天内完成实施要求并具备验收条件。</w:t>
      </w:r>
    </w:p>
    <w:p w14:paraId="29C94DCC">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■服务期限自合同签订起1年。</w:t>
      </w:r>
    </w:p>
    <w:p w14:paraId="3749F591">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其他：</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14:paraId="0EF2C052">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2、交付地点（服务地点）：北京市海淀区学院路37号北京航空航天大学校医院。</w:t>
      </w:r>
    </w:p>
    <w:p w14:paraId="3EC2A46E">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3、包装运输（如有）：</w:t>
      </w:r>
      <w:r>
        <w:rPr>
          <w:rFonts w:hint="eastAsia" w:ascii="仿宋_GB2312" w:hAnsi="仿宋_GB2312" w:eastAsia="仿宋_GB2312" w:cs="仿宋_GB2312"/>
          <w:color w:val="000000" w:themeColor="text1"/>
          <w:sz w:val="24"/>
          <w14:textFill>
            <w14:solidFill>
              <w14:schemeClr w14:val="tx1"/>
            </w14:solidFill>
          </w14:textFill>
        </w:rPr>
        <w:t>大型设备或配件须供应商提供有专业人员进行物流及搬运</w:t>
      </w:r>
      <w:r>
        <w:rPr>
          <w:rFonts w:hint="eastAsia" w:ascii="仿宋_GB2312" w:hAnsi="仿宋_GB2312" w:eastAsia="仿宋_GB2312" w:cs="仿宋_GB2312"/>
          <w:sz w:val="24"/>
        </w:rPr>
        <w:t>。</w:t>
      </w:r>
    </w:p>
    <w:p w14:paraId="1EEDFF4A">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4、售后服务（如有）：包括质保期年限、维修或服务响应时间、技术培训时间及内容等。</w:t>
      </w:r>
    </w:p>
    <w:p w14:paraId="350C8EA1">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5、培训方案（如有）：供应商提供设备及系统技术服务支持。</w:t>
      </w:r>
    </w:p>
    <w:p w14:paraId="03C2B2F2">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6、人员资质要求（如有）：供应商维保人员需有相关检测资质。</w:t>
      </w:r>
    </w:p>
    <w:p w14:paraId="07DCC679">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7、保险：保险费由供应商承担。    </w:t>
      </w:r>
    </w:p>
    <w:p w14:paraId="13E0160A">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8、其他：</w:t>
      </w:r>
      <w:r>
        <w:rPr>
          <w:rFonts w:hint="eastAsia" w:ascii="仿宋_GB2312" w:hAnsi="仿宋_GB2312" w:eastAsia="仿宋_GB2312" w:cs="仿宋_GB2312"/>
          <w:sz w:val="24"/>
          <w:lang w:val="en-US" w:eastAsia="zh-CN"/>
        </w:rPr>
        <w:t>无</w:t>
      </w:r>
      <w:r>
        <w:rPr>
          <w:rFonts w:hint="eastAsia" w:ascii="仿宋_GB2312" w:hAnsi="仿宋_GB2312" w:eastAsia="仿宋_GB2312" w:cs="仿宋_GB2312"/>
          <w:sz w:val="24"/>
        </w:rPr>
        <w:t xml:space="preserve"> </w:t>
      </w:r>
    </w:p>
    <w:p w14:paraId="78CBB5CA">
      <w:pPr>
        <w:snapToGrid w:val="0"/>
        <w:spacing w:line="520" w:lineRule="exact"/>
        <w:ind w:firstLine="482" w:firstLineChars="200"/>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（三）验收要求：</w:t>
      </w:r>
    </w:p>
    <w:p w14:paraId="1232E052">
      <w:pPr>
        <w:snapToGrid w:val="0"/>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 xml:space="preserve"> </w:t>
      </w:r>
      <w:r>
        <w:rPr>
          <w:rFonts w:hint="eastAsia" w:ascii="仿宋_GB2312" w:hAnsi="仿宋_GB2312" w:eastAsia="仿宋_GB2312" w:cs="仿宋_GB2312"/>
          <w:sz w:val="24"/>
        </w:rPr>
        <w:t>系统功能验收：含探测器、高压发生器在内的保修（包括所有配件、劳务、差旅、税费等费用），设备保修服务包括但不限于技术服务，各功能控制电路主板以及配套的各种应用软件（包括工作站软、硬件），电脑主机及零配件，操作台主机及零配件，机架系统，曝光系统，供电系统，扫描床以及其他所有零配件运转正常。</w:t>
      </w:r>
    </w:p>
    <w:p w14:paraId="4E33B65B">
      <w:pPr>
        <w:numPr>
          <w:ilvl w:val="0"/>
          <w:numId w:val="4"/>
        </w:numPr>
        <w:snapToGrid w:val="0"/>
        <w:spacing w:line="5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图像质量验收：图像无明显伪影；层厚、层距、窗宽窗位、重建算法符合设备技术要求；空间分辨率、密度分辨率、噪声水平满足诊断标准；定位像、轴位、冠状、位矢状位重建正常。</w:t>
      </w:r>
    </w:p>
    <w:p w14:paraId="10463A3A">
      <w:pPr>
        <w:numPr>
          <w:ilvl w:val="0"/>
          <w:numId w:val="4"/>
        </w:numPr>
        <w:snapToGrid w:val="0"/>
        <w:spacing w:line="5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机械与运动系统验收：仪器机械与运动平稳，定位精准，无异常等。</w:t>
      </w:r>
    </w:p>
    <w:p w14:paraId="40B83160">
      <w:pPr>
        <w:numPr>
          <w:ilvl w:val="0"/>
          <w:numId w:val="4"/>
        </w:numPr>
        <w:snapToGrid w:val="0"/>
        <w:spacing w:line="520" w:lineRule="exact"/>
        <w:ind w:firstLine="480" w:firstLineChars="200"/>
      </w:pPr>
      <w:r>
        <w:rPr>
          <w:rFonts w:hint="eastAsia" w:ascii="仿宋_GB2312" w:hAnsi="仿宋_GB2312" w:eastAsia="仿宋_GB2312" w:cs="仿宋_GB2312"/>
          <w:sz w:val="24"/>
          <w:szCs w:val="24"/>
        </w:rPr>
        <w:t>安全与防护满足辐射安全要求。</w:t>
      </w:r>
    </w:p>
    <w:p w14:paraId="256B6C42">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（四）付款方式及履约保证金：</w:t>
      </w:r>
      <w:r>
        <w:rPr>
          <w:sz w:val="20"/>
          <w:szCs w:val="22"/>
        </w:rPr>
        <w:commentReference w:id="1"/>
      </w:r>
    </w:p>
    <w:p w14:paraId="14DD33C1">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一次性付款，即：供应商交货并安装、调试完成，经采购人验收合格后，采购人支付100%合同金额，同时乙方提供相应发票。</w:t>
      </w:r>
    </w:p>
    <w:p w14:paraId="4937BCBF">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分期付款，合同签订个5工作日内供应商向采购人提供合同金额20%的履约保证金，采购人支付合同总价的100%；货物调试且验收合格后，供应商向采购人提供合同全额正式商业发票后，采购人支付合同总价的100%，同时维保履约保证金转为维保保证金，服务期满后付清维保保证金。</w:t>
      </w:r>
    </w:p>
    <w:p w14:paraId="0AA36B54">
      <w:pPr>
        <w:widowControl/>
        <w:jc w:val="left"/>
        <w:rPr>
          <w:rFonts w:ascii="仿宋_GB2312" w:hAnsi="仿宋_GB2312" w:eastAsia="仿宋_GB2312" w:cs="仿宋_GB2312"/>
          <w:sz w:val="24"/>
        </w:rPr>
      </w:pPr>
      <w:r>
        <w:rPr>
          <w:rFonts w:ascii="仿宋_GB2312" w:hAnsi="仿宋_GB2312" w:eastAsia="仿宋_GB2312" w:cs="仿宋_GB2312"/>
          <w:sz w:val="24"/>
        </w:rPr>
        <w:br w:type="page"/>
      </w:r>
    </w:p>
    <w:p w14:paraId="2302E1EF">
      <w:pPr>
        <w:pStyle w:val="2"/>
        <w:ind w:left="0" w:leftChars="0"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附件1：采购标的报价单</w:t>
      </w:r>
    </w:p>
    <w:p w14:paraId="0DA73D77">
      <w:pPr>
        <w:ind w:firstLine="280" w:firstLineChars="100"/>
        <w:rPr>
          <w:rFonts w:ascii="等线" w:hAnsi="等线" w:eastAsia="等线" w:cs="等线"/>
          <w:b/>
          <w:bCs/>
          <w:sz w:val="28"/>
          <w:szCs w:val="28"/>
        </w:rPr>
      </w:pPr>
      <w:r>
        <w:rPr>
          <w:rFonts w:hint="eastAsia" w:ascii="等线" w:hAnsi="等线" w:eastAsia="等线" w:cs="等线"/>
          <w:b/>
          <w:bCs/>
          <w:sz w:val="28"/>
          <w:szCs w:val="28"/>
        </w:rPr>
        <w:t>北航校医院计算机X线断层摄影系统维修保养服务项目报价单</w:t>
      </w:r>
    </w:p>
    <w:p w14:paraId="293A10E6">
      <w:pPr>
        <w:rPr>
          <w:rFonts w:ascii="等线" w:hAnsi="等线" w:eastAsia="等线" w:cs="等线"/>
          <w:b/>
          <w:bCs/>
          <w:sz w:val="28"/>
          <w:szCs w:val="28"/>
        </w:rPr>
      </w:pPr>
    </w:p>
    <w:p w14:paraId="6E35261F">
      <w:pPr>
        <w:spacing w:line="240" w:lineRule="atLeast"/>
        <w:ind w:firstLine="280" w:firstLineChars="100"/>
        <w:rPr>
          <w:rFonts w:ascii="华文楷体" w:hAnsi="华文楷体" w:eastAsia="华文楷体"/>
          <w:b/>
          <w:bCs/>
          <w:sz w:val="28"/>
          <w:szCs w:val="28"/>
        </w:rPr>
      </w:pPr>
      <w:r>
        <w:rPr>
          <w:rFonts w:hint="eastAsia" w:ascii="华文楷体" w:hAnsi="华文楷体" w:eastAsia="华文楷体"/>
          <w:b/>
          <w:bCs/>
          <w:sz w:val="28"/>
          <w:szCs w:val="28"/>
        </w:rPr>
        <w:t>供应商：____________________（加盖单位公章）</w:t>
      </w:r>
    </w:p>
    <w:p w14:paraId="2C8609D3">
      <w:pPr>
        <w:pStyle w:val="2"/>
        <w:spacing w:line="240" w:lineRule="atLeast"/>
      </w:pPr>
    </w:p>
    <w:tbl>
      <w:tblPr>
        <w:tblStyle w:val="13"/>
        <w:tblW w:w="49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137"/>
        <w:gridCol w:w="1473"/>
        <w:gridCol w:w="1134"/>
        <w:gridCol w:w="1273"/>
        <w:gridCol w:w="1681"/>
      </w:tblGrid>
      <w:tr w14:paraId="2203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tcBorders>
              <w:top w:val="single" w:color="auto" w:sz="4" w:space="0"/>
              <w:left w:val="single" w:color="auto" w:sz="4" w:space="0"/>
              <w:bottom w:val="single" w:color="auto" w:sz="4" w:space="0"/>
              <w:right w:val="single" w:color="auto" w:sz="4" w:space="0"/>
            </w:tcBorders>
          </w:tcPr>
          <w:p w14:paraId="5E58209A">
            <w:pPr>
              <w:spacing w:line="36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序号</w:t>
            </w:r>
          </w:p>
        </w:tc>
        <w:tc>
          <w:tcPr>
            <w:tcW w:w="1272" w:type="pct"/>
            <w:tcBorders>
              <w:top w:val="single" w:color="auto" w:sz="4" w:space="0"/>
              <w:left w:val="single" w:color="auto" w:sz="4" w:space="0"/>
              <w:bottom w:val="single" w:color="auto" w:sz="4" w:space="0"/>
              <w:right w:val="single" w:color="auto" w:sz="4" w:space="0"/>
            </w:tcBorders>
            <w:vAlign w:val="center"/>
          </w:tcPr>
          <w:p w14:paraId="43867A17">
            <w:pPr>
              <w:spacing w:line="36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服务内容</w:t>
            </w:r>
          </w:p>
        </w:tc>
        <w:tc>
          <w:tcPr>
            <w:tcW w:w="877" w:type="pct"/>
            <w:tcBorders>
              <w:top w:val="single" w:color="auto" w:sz="4" w:space="0"/>
              <w:left w:val="single" w:color="auto" w:sz="4" w:space="0"/>
              <w:bottom w:val="single" w:color="auto" w:sz="4" w:space="0"/>
              <w:right w:val="single" w:color="auto" w:sz="4" w:space="0"/>
            </w:tcBorders>
            <w:vAlign w:val="center"/>
          </w:tcPr>
          <w:p w14:paraId="72066CBB">
            <w:pPr>
              <w:spacing w:line="36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数量</w:t>
            </w:r>
          </w:p>
        </w:tc>
        <w:tc>
          <w:tcPr>
            <w:tcW w:w="675" w:type="pct"/>
            <w:tcBorders>
              <w:top w:val="single" w:color="auto" w:sz="4" w:space="0"/>
              <w:left w:val="single" w:color="auto" w:sz="4" w:space="0"/>
              <w:bottom w:val="single" w:color="auto" w:sz="4" w:space="0"/>
              <w:right w:val="single" w:color="auto" w:sz="4" w:space="0"/>
            </w:tcBorders>
          </w:tcPr>
          <w:p w14:paraId="56D72DC7">
            <w:pPr>
              <w:spacing w:line="36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单位</w:t>
            </w:r>
          </w:p>
        </w:tc>
        <w:tc>
          <w:tcPr>
            <w:tcW w:w="758" w:type="pct"/>
            <w:tcBorders>
              <w:top w:val="single" w:color="auto" w:sz="4" w:space="0"/>
              <w:left w:val="single" w:color="auto" w:sz="4" w:space="0"/>
              <w:bottom w:val="single" w:color="auto" w:sz="4" w:space="0"/>
              <w:right w:val="single" w:color="auto" w:sz="4" w:space="0"/>
            </w:tcBorders>
          </w:tcPr>
          <w:p w14:paraId="5F2CAE79">
            <w:pPr>
              <w:spacing w:line="36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单价（元）</w:t>
            </w:r>
          </w:p>
        </w:tc>
        <w:tc>
          <w:tcPr>
            <w:tcW w:w="1000" w:type="pct"/>
            <w:tcBorders>
              <w:top w:val="single" w:color="auto" w:sz="4" w:space="0"/>
              <w:left w:val="single" w:color="auto" w:sz="4" w:space="0"/>
              <w:bottom w:val="single" w:color="auto" w:sz="4" w:space="0"/>
              <w:right w:val="single" w:color="auto" w:sz="4" w:space="0"/>
            </w:tcBorders>
          </w:tcPr>
          <w:p w14:paraId="341DEE14">
            <w:pPr>
              <w:spacing w:line="36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备注</w:t>
            </w:r>
          </w:p>
        </w:tc>
      </w:tr>
      <w:tr w14:paraId="30C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418" w:type="pct"/>
            <w:tcBorders>
              <w:top w:val="single" w:color="auto" w:sz="4" w:space="0"/>
              <w:left w:val="single" w:color="auto" w:sz="4" w:space="0"/>
              <w:bottom w:val="single" w:color="auto" w:sz="4" w:space="0"/>
              <w:right w:val="single" w:color="auto" w:sz="4" w:space="0"/>
            </w:tcBorders>
            <w:vAlign w:val="center"/>
          </w:tcPr>
          <w:p w14:paraId="72F5E62B">
            <w:pPr>
              <w:spacing w:line="36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1</w:t>
            </w:r>
          </w:p>
        </w:tc>
        <w:tc>
          <w:tcPr>
            <w:tcW w:w="1272" w:type="pct"/>
            <w:tcBorders>
              <w:top w:val="single" w:color="auto" w:sz="4" w:space="0"/>
              <w:left w:val="single" w:color="auto" w:sz="4" w:space="0"/>
              <w:bottom w:val="single" w:color="auto" w:sz="4" w:space="0"/>
              <w:right w:val="single" w:color="auto" w:sz="4" w:space="0"/>
            </w:tcBorders>
            <w:vAlign w:val="center"/>
          </w:tcPr>
          <w:p w14:paraId="79526000">
            <w:pPr>
              <w:spacing w:line="360" w:lineRule="auto"/>
              <w:jc w:val="center"/>
              <w:rPr>
                <w:rFonts w:hint="eastAsia" w:ascii="仿宋_GB2312" w:hAnsi="仿宋_GB2312" w:eastAsia="仿宋_GB2312" w:cs="仿宋_GB2312"/>
                <w:bCs/>
                <w:szCs w:val="21"/>
              </w:rPr>
            </w:pPr>
            <w:r>
              <w:rPr>
                <w:rFonts w:hint="eastAsia" w:ascii="仿宋_GB2312" w:hAnsi="仿宋_GB2312" w:eastAsia="仿宋_GB2312" w:cs="仿宋_GB2312"/>
                <w:color w:val="333333"/>
                <w:kern w:val="0"/>
                <w:sz w:val="24"/>
                <w:szCs w:val="24"/>
              </w:rPr>
              <w:t>计算机X线断层摄影系统开影precision128维修保养服务</w:t>
            </w:r>
          </w:p>
        </w:tc>
        <w:tc>
          <w:tcPr>
            <w:tcW w:w="877" w:type="pct"/>
            <w:tcBorders>
              <w:top w:val="single" w:color="auto" w:sz="4" w:space="0"/>
              <w:left w:val="single" w:color="auto" w:sz="4" w:space="0"/>
              <w:bottom w:val="single" w:color="auto" w:sz="4" w:space="0"/>
              <w:right w:val="single" w:color="auto" w:sz="4" w:space="0"/>
            </w:tcBorders>
            <w:vAlign w:val="center"/>
          </w:tcPr>
          <w:p w14:paraId="1E73E63C">
            <w:pPr>
              <w:spacing w:line="36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1</w:t>
            </w:r>
          </w:p>
        </w:tc>
        <w:tc>
          <w:tcPr>
            <w:tcW w:w="675" w:type="pct"/>
            <w:tcBorders>
              <w:top w:val="single" w:color="auto" w:sz="4" w:space="0"/>
              <w:left w:val="single" w:color="auto" w:sz="4" w:space="0"/>
              <w:bottom w:val="single" w:color="auto" w:sz="4" w:space="0"/>
              <w:right w:val="single" w:color="auto" w:sz="4" w:space="0"/>
            </w:tcBorders>
            <w:vAlign w:val="center"/>
          </w:tcPr>
          <w:p w14:paraId="68316DFC">
            <w:pPr>
              <w:spacing w:line="36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套</w:t>
            </w:r>
          </w:p>
        </w:tc>
        <w:tc>
          <w:tcPr>
            <w:tcW w:w="758" w:type="pct"/>
            <w:tcBorders>
              <w:top w:val="single" w:color="auto" w:sz="4" w:space="0"/>
              <w:left w:val="single" w:color="auto" w:sz="4" w:space="0"/>
              <w:bottom w:val="single" w:color="auto" w:sz="4" w:space="0"/>
              <w:right w:val="single" w:color="auto" w:sz="4" w:space="0"/>
            </w:tcBorders>
            <w:vAlign w:val="center"/>
          </w:tcPr>
          <w:p w14:paraId="241ACF31">
            <w:pPr>
              <w:spacing w:line="360" w:lineRule="auto"/>
              <w:rPr>
                <w:rFonts w:hint="eastAsia" w:ascii="仿宋_GB2312" w:hAnsi="仿宋_GB2312" w:eastAsia="仿宋_GB2312" w:cs="仿宋_GB2312"/>
                <w:bCs/>
                <w:szCs w:val="21"/>
              </w:rPr>
            </w:pPr>
          </w:p>
        </w:tc>
        <w:tc>
          <w:tcPr>
            <w:tcW w:w="1000" w:type="pct"/>
            <w:tcBorders>
              <w:top w:val="single" w:color="auto" w:sz="4" w:space="0"/>
              <w:left w:val="single" w:color="auto" w:sz="4" w:space="0"/>
              <w:bottom w:val="single" w:color="auto" w:sz="4" w:space="0"/>
              <w:right w:val="single" w:color="auto" w:sz="4" w:space="0"/>
            </w:tcBorders>
            <w:vAlign w:val="center"/>
          </w:tcPr>
          <w:p w14:paraId="1ECDBCFA">
            <w:pPr>
              <w:spacing w:line="36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一年期</w:t>
            </w:r>
          </w:p>
        </w:tc>
      </w:tr>
      <w:tr w14:paraId="6D35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3242" w:type="pct"/>
            <w:gridSpan w:val="4"/>
            <w:tcBorders>
              <w:top w:val="single" w:color="auto" w:sz="4" w:space="0"/>
              <w:left w:val="single" w:color="auto" w:sz="4" w:space="0"/>
              <w:bottom w:val="single" w:color="auto" w:sz="4" w:space="0"/>
              <w:right w:val="single" w:color="auto" w:sz="4" w:space="0"/>
            </w:tcBorders>
            <w:vAlign w:val="center"/>
          </w:tcPr>
          <w:p w14:paraId="50C5E4FE">
            <w:pPr>
              <w:spacing w:line="360" w:lineRule="auto"/>
              <w:jc w:val="right"/>
              <w:rPr>
                <w:rFonts w:hint="eastAsia" w:ascii="仿宋_GB2312" w:hAnsi="仿宋_GB2312" w:eastAsia="仿宋_GB2312" w:cs="仿宋_GB2312"/>
                <w:bCs/>
                <w:szCs w:val="21"/>
              </w:rPr>
            </w:pPr>
            <w:r>
              <w:rPr>
                <w:rFonts w:hint="eastAsia" w:ascii="仿宋_GB2312" w:hAnsi="仿宋_GB2312" w:eastAsia="仿宋_GB2312" w:cs="仿宋_GB2312"/>
                <w:bCs/>
                <w:szCs w:val="21"/>
              </w:rPr>
              <w:t>合计总价：</w:t>
            </w:r>
          </w:p>
        </w:tc>
        <w:tc>
          <w:tcPr>
            <w:tcW w:w="1758" w:type="pct"/>
            <w:gridSpan w:val="2"/>
            <w:tcBorders>
              <w:top w:val="single" w:color="auto" w:sz="4" w:space="0"/>
              <w:left w:val="single" w:color="auto" w:sz="4" w:space="0"/>
              <w:bottom w:val="single" w:color="auto" w:sz="4" w:space="0"/>
              <w:right w:val="single" w:color="auto" w:sz="4" w:space="0"/>
            </w:tcBorders>
            <w:vAlign w:val="center"/>
          </w:tcPr>
          <w:p w14:paraId="18C9AA20">
            <w:pPr>
              <w:spacing w:line="360" w:lineRule="auto"/>
              <w:jc w:val="center"/>
              <w:rPr>
                <w:rFonts w:hint="eastAsia" w:ascii="仿宋_GB2312" w:hAnsi="仿宋_GB2312" w:eastAsia="仿宋_GB2312" w:cs="仿宋_GB2312"/>
                <w:bCs/>
                <w:szCs w:val="21"/>
              </w:rPr>
            </w:pPr>
          </w:p>
        </w:tc>
      </w:tr>
    </w:tbl>
    <w:p w14:paraId="63FCD41C">
      <w:pPr>
        <w:spacing w:line="360" w:lineRule="auto"/>
        <w:jc w:val="left"/>
        <w:rPr>
          <w:rFonts w:ascii="宋体" w:eastAsia="宋体"/>
          <w:sz w:val="24"/>
        </w:rPr>
      </w:pPr>
    </w:p>
    <w:p w14:paraId="4B7CD5D8">
      <w:pPr>
        <w:spacing w:line="360" w:lineRule="auto"/>
        <w:jc w:val="left"/>
        <w:rPr>
          <w:rFonts w:ascii="宋体" w:eastAsia="宋体"/>
          <w:sz w:val="24"/>
        </w:rPr>
      </w:pPr>
    </w:p>
    <w:p w14:paraId="0BCB523E">
      <w:pPr>
        <w:spacing w:line="312" w:lineRule="auto"/>
        <w:rPr>
          <w:rFonts w:ascii="华文楷体" w:hAnsi="华文楷体" w:eastAsia="华文楷体"/>
          <w:b/>
          <w:bCs/>
          <w:sz w:val="28"/>
          <w:szCs w:val="28"/>
        </w:rPr>
      </w:pPr>
      <w:r>
        <w:rPr>
          <w:rFonts w:hint="eastAsia" w:ascii="华文楷体" w:hAnsi="华文楷体" w:eastAsia="华文楷体"/>
          <w:b/>
          <w:bCs/>
          <w:sz w:val="28"/>
          <w:szCs w:val="28"/>
        </w:rPr>
        <w:t>联系人：_</w:t>
      </w:r>
      <w:r>
        <w:rPr>
          <w:rFonts w:ascii="华文楷体" w:hAnsi="华文楷体" w:eastAsia="华文楷体"/>
          <w:b/>
          <w:bCs/>
          <w:sz w:val="28"/>
          <w:szCs w:val="28"/>
        </w:rPr>
        <w:t xml:space="preserve">_________  </w:t>
      </w:r>
    </w:p>
    <w:p w14:paraId="05EEF56B">
      <w:pPr>
        <w:spacing w:line="312" w:lineRule="auto"/>
        <w:rPr>
          <w:rFonts w:ascii="华文楷体" w:hAnsi="华文楷体" w:eastAsia="华文楷体"/>
          <w:b/>
          <w:bCs/>
          <w:sz w:val="28"/>
          <w:szCs w:val="28"/>
        </w:rPr>
      </w:pPr>
      <w:r>
        <w:rPr>
          <w:rFonts w:hint="eastAsia" w:ascii="华文楷体" w:hAnsi="华文楷体" w:eastAsia="华文楷体"/>
          <w:b/>
          <w:bCs/>
          <w:sz w:val="28"/>
          <w:szCs w:val="28"/>
        </w:rPr>
        <w:t>联系电话：_</w:t>
      </w:r>
      <w:r>
        <w:rPr>
          <w:rFonts w:ascii="华文楷体" w:hAnsi="华文楷体" w:eastAsia="华文楷体"/>
          <w:b/>
          <w:bCs/>
          <w:sz w:val="28"/>
          <w:szCs w:val="28"/>
        </w:rPr>
        <w:t xml:space="preserve">_________  </w:t>
      </w:r>
    </w:p>
    <w:p w14:paraId="3EDCE4A6">
      <w:pPr>
        <w:spacing w:line="312" w:lineRule="auto"/>
        <w:rPr>
          <w:rFonts w:ascii="华文楷体" w:hAnsi="华文楷体" w:eastAsia="华文楷体"/>
          <w:b/>
          <w:bCs/>
          <w:sz w:val="28"/>
          <w:szCs w:val="28"/>
        </w:rPr>
      </w:pPr>
      <w:r>
        <w:rPr>
          <w:rFonts w:hint="eastAsia" w:ascii="华文楷体" w:hAnsi="华文楷体" w:eastAsia="华文楷体"/>
          <w:b/>
          <w:bCs/>
          <w:sz w:val="28"/>
          <w:szCs w:val="28"/>
        </w:rPr>
        <w:t>日期：_</w:t>
      </w:r>
      <w:r>
        <w:rPr>
          <w:rFonts w:ascii="华文楷体" w:hAnsi="华文楷体" w:eastAsia="华文楷体"/>
          <w:b/>
          <w:bCs/>
          <w:sz w:val="28"/>
          <w:szCs w:val="28"/>
        </w:rPr>
        <w:t>_________</w:t>
      </w:r>
    </w:p>
    <w:p w14:paraId="69FC9D6A">
      <w:pPr>
        <w:spacing w:line="360" w:lineRule="auto"/>
        <w:jc w:val="left"/>
        <w:rPr>
          <w:rFonts w:ascii="微软雅黑" w:hAnsi="微软雅黑" w:eastAsia="微软雅黑" w:cs="宋体"/>
          <w:color w:val="333333"/>
          <w:kern w:val="0"/>
          <w:sz w:val="28"/>
          <w:szCs w:val="28"/>
        </w:rPr>
      </w:pPr>
    </w:p>
    <w:p w14:paraId="75D01968">
      <w:pPr>
        <w:jc w:val="center"/>
        <w:rPr>
          <w:rFonts w:ascii="仿宋_GB2312" w:hAnsi="仿宋_GB2312" w:eastAsia="仿宋_GB2312" w:cs="仿宋_GB2312"/>
          <w:sz w:val="24"/>
        </w:rPr>
      </w:pPr>
    </w:p>
    <w:sectPr>
      <w:headerReference r:id="rId5" w:type="default"/>
      <w:footerReference r:id="rId6" w:type="default"/>
      <w:pgSz w:w="11900" w:h="16840"/>
      <w:pgMar w:top="1440" w:right="1800" w:bottom="1440" w:left="1800" w:header="851" w:footer="992"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计财部招采中心" w:date="2024-12-23T11:51:00Z" w:initials="招采中心">
    <w:p w14:paraId="2A890CE7">
      <w:pPr>
        <w:widowControl/>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注： </w:t>
      </w:r>
    </w:p>
    <w:p w14:paraId="68680F9B">
      <w:pPr>
        <w:widowControl/>
        <w:ind w:left="181" w:leftChars="86"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采购需求表述完整、明确。不得以不合理的要求限制或者排斥潜在供应商，对潜在供应商实行差别待遇或者歧视待遇，或者指定特定的供应商、含有倾向性等内容。例如：设定明显不合理的交货期限、付款条件和验收办法，或者售后服务要求超出服务范围、不符合有关标准等。</w:t>
      </w:r>
    </w:p>
    <w:p w14:paraId="30FC0AD0">
      <w:pPr>
        <w:pStyle w:val="2"/>
        <w:ind w:left="601" w:leftChars="286" w:firstLine="600"/>
        <w:rPr>
          <w:rFonts w:ascii="仿宋_GB2312" w:hAnsi="仿宋_GB2312" w:eastAsia="仿宋_GB2312" w:cs="仿宋_GB2312"/>
          <w:sz w:val="30"/>
          <w:szCs w:val="30"/>
        </w:rPr>
      </w:pPr>
    </w:p>
    <w:p w14:paraId="7311CD10">
      <w:pPr>
        <w:widowControl/>
        <w:numPr>
          <w:ilvl w:val="0"/>
          <w:numId w:val="1"/>
        </w:numPr>
        <w:ind w:left="181" w:leftChars="86" w:firstLine="602" w:firstLineChars="200"/>
        <w:rPr>
          <w:rFonts w:ascii="仿宋_GB2312" w:hAnsi="仿宋_GB2312" w:eastAsia="仿宋_GB2312" w:cs="仿宋_GB2312"/>
          <w:sz w:val="30"/>
          <w:szCs w:val="30"/>
        </w:rPr>
      </w:pPr>
      <w:r>
        <w:rPr>
          <w:rFonts w:hint="eastAsia" w:ascii="仿宋_GB2312" w:hAnsi="仿宋_GB2312" w:eastAsia="仿宋_GB2312" w:cs="仿宋_GB2312"/>
          <w:b/>
          <w:bCs/>
          <w:sz w:val="30"/>
          <w:szCs w:val="30"/>
        </w:rPr>
        <w:t>技术要求</w:t>
      </w:r>
      <w:r>
        <w:rPr>
          <w:rFonts w:hint="eastAsia" w:ascii="仿宋_GB2312" w:hAnsi="仿宋_GB2312" w:eastAsia="仿宋_GB2312" w:cs="仿宋_GB2312"/>
          <w:sz w:val="30"/>
          <w:szCs w:val="30"/>
        </w:rPr>
        <w:t xml:space="preserve">是指对采购标的的功能和质量要求，包括性能、材料、结构、外观、安全，或者服务内容和标准等。 </w:t>
      </w:r>
    </w:p>
    <w:p w14:paraId="328C3313">
      <w:pPr>
        <w:pStyle w:val="2"/>
        <w:ind w:left="840" w:leftChars="400" w:firstLine="0" w:firstLineChars="0"/>
      </w:pPr>
    </w:p>
    <w:p w14:paraId="500F93FF">
      <w:pPr>
        <w:widowControl/>
        <w:ind w:firstLine="602" w:firstLineChars="200"/>
      </w:pPr>
      <w:r>
        <w:rPr>
          <w:rFonts w:hint="eastAsia" w:ascii="仿宋_GB2312" w:hAnsi="仿宋_GB2312" w:eastAsia="仿宋_GB2312" w:cs="仿宋_GB2312"/>
          <w:b/>
          <w:bCs/>
          <w:sz w:val="30"/>
          <w:szCs w:val="30"/>
        </w:rPr>
        <w:t>3、商务要求</w:t>
      </w:r>
      <w:r>
        <w:rPr>
          <w:rFonts w:hint="eastAsia" w:ascii="仿宋_GB2312" w:hAnsi="仿宋_GB2312" w:eastAsia="仿宋_GB2312" w:cs="仿宋_GB2312"/>
          <w:sz w:val="30"/>
          <w:szCs w:val="30"/>
        </w:rPr>
        <w:t>是指取得采购标的的时间、地点、财务和服务要求，包括交付（实施）的时间（期限）和地点（范围）， 付款条件（进度和方式），包装和运输，售后服务，保险等。</w:t>
      </w:r>
    </w:p>
    <w:p w14:paraId="0F9F1D9F">
      <w:pPr>
        <w:pStyle w:val="2"/>
        <w:ind w:left="0" w:leftChars="0" w:firstLine="0" w:firstLineChars="0"/>
        <w:rPr>
          <w:rFonts w:ascii="仿宋_GB2312" w:hAnsi="仿宋_GB2312" w:eastAsia="仿宋_GB2312" w:cs="仿宋_GB2312"/>
          <w:b/>
          <w:bCs/>
          <w:color w:val="FF0000"/>
          <w:sz w:val="30"/>
          <w:szCs w:val="30"/>
        </w:rPr>
      </w:pPr>
    </w:p>
    <w:p w14:paraId="08DE6DBE">
      <w:pPr>
        <w:pStyle w:val="2"/>
        <w:ind w:left="0" w:leftChars="0" w:firstLine="0"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4、如某一项技术指标和指标为关键指标，请在具体指标项前进行标注“</w:t>
      </w:r>
      <w:r>
        <w:rPr>
          <w:rFonts w:hint="eastAsia" w:ascii="仿宋_GB2312" w:hAnsi="仿宋_GB2312" w:eastAsia="仿宋_GB2312" w:cs="仿宋_GB2312"/>
          <w:color w:val="EE0000"/>
          <w:sz w:val="28"/>
          <w:szCs w:val="28"/>
        </w:rPr>
        <w:t>★</w:t>
      </w:r>
      <w:r>
        <w:rPr>
          <w:rFonts w:hint="eastAsia" w:ascii="仿宋_GB2312" w:hAnsi="仿宋_GB2312" w:eastAsia="仿宋_GB2312" w:cs="仿宋_GB2312"/>
          <w:sz w:val="30"/>
          <w:szCs w:val="30"/>
        </w:rPr>
        <w:t>”。</w:t>
      </w:r>
    </w:p>
    <w:p w14:paraId="6885EC51">
      <w:pPr>
        <w:pStyle w:val="6"/>
        <w:rPr>
          <w:rFonts w:ascii="仿宋_GB2312" w:hAnsi="仿宋_GB2312" w:eastAsia="仿宋_GB2312" w:cs="仿宋_GB2312"/>
        </w:rPr>
      </w:pPr>
    </w:p>
    <w:p w14:paraId="0DDA7FC8">
      <w:pPr>
        <w:pStyle w:val="6"/>
        <w:rPr>
          <w:rFonts w:ascii="仿宋_GB2312" w:hAnsi="仿宋_GB2312" w:eastAsia="仿宋_GB2312" w:cs="仿宋_GB2312"/>
          <w:sz w:val="30"/>
          <w:szCs w:val="30"/>
        </w:rPr>
      </w:pPr>
      <w:r>
        <w:rPr>
          <w:rFonts w:hint="eastAsia" w:ascii="仿宋_GB2312" w:hAnsi="仿宋_GB2312" w:eastAsia="仿宋_GB2312" w:cs="仿宋_GB2312"/>
        </w:rPr>
        <w:t>5、可以根据项目实际情况，自主决定是否对所有指标需要提供证明材料或仅对关键指标提供证明材料</w:t>
      </w:r>
    </w:p>
  </w:comment>
  <w:comment w:id="1" w:author="计财部招采中心" w:date="2024-12-23T13:19:00Z" w:initials="招采中心">
    <w:p w14:paraId="7EEC1AC8">
      <w:pPr>
        <w:widowControl/>
        <w:ind w:firstLine="600" w:firstLineChars="200"/>
      </w:pPr>
      <w:r>
        <w:rPr>
          <w:rFonts w:hint="eastAsia" w:ascii="仿宋_GB2312" w:hAnsi="仿宋_GB2312" w:eastAsia="仿宋_GB2312" w:cs="仿宋_GB2312"/>
          <w:sz w:val="30"/>
          <w:szCs w:val="30"/>
        </w:rPr>
        <w:t>注：</w:t>
      </w:r>
      <w:r>
        <w:rPr>
          <w:rFonts w:hint="eastAsia" w:ascii="仿宋_GB2312" w:hAnsi="仿宋_GB2312" w:eastAsia="仿宋_GB2312" w:cs="仿宋_GB2312"/>
          <w:b/>
          <w:bCs/>
          <w:sz w:val="30"/>
          <w:szCs w:val="30"/>
        </w:rPr>
        <w:t>履约保证金不超过合同金额的10%</w:t>
      </w:r>
      <w:r>
        <w:rPr>
          <w:rFonts w:hint="eastAsia" w:ascii="仿宋_GB2312" w:hAnsi="仿宋_GB2312" w:eastAsia="仿宋_GB2312" w:cs="仿宋_GB2312"/>
          <w:sz w:val="30"/>
          <w:szCs w:val="30"/>
        </w:rPr>
        <w:t>，首付款比例一般为30%-60%，也可视采购项目具体情况调整。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DDA7FC8" w15:done="0"/>
  <w15:commentEx w15:paraId="7EEC1AC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小标宋">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4E278">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CA11A4A">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K3E0nfFAQAAmwMAAA4AAAAAAAAAAQAgAAAAHgEAAGRycy9lMm9Eb2MueG1s&#10;UEsFBgAAAAAGAAYAWQEAAFUFAAAAAA==&#10;">
              <v:fill on="f" focussize="0,0"/>
              <v:stroke on="f"/>
              <v:imagedata o:title=""/>
              <o:lock v:ext="edit" aspectratio="f"/>
              <v:textbox inset="0mm,0mm,0mm,0mm" style="mso-fit-shape-to-text:t;">
                <w:txbxContent>
                  <w:p w14:paraId="5CA11A4A">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0F3A3">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8665CE"/>
    <w:multiLevelType w:val="singleLevel"/>
    <w:tmpl w:val="8A8665CE"/>
    <w:lvl w:ilvl="0" w:tentative="0">
      <w:start w:val="4"/>
      <w:numFmt w:val="chineseCounting"/>
      <w:suff w:val="nothing"/>
      <w:lvlText w:val="%1、"/>
      <w:lvlJc w:val="left"/>
      <w:rPr>
        <w:rFonts w:hint="eastAsia"/>
      </w:rPr>
    </w:lvl>
  </w:abstractNum>
  <w:abstractNum w:abstractNumId="1">
    <w:nsid w:val="CCD46761"/>
    <w:multiLevelType w:val="singleLevel"/>
    <w:tmpl w:val="CCD46761"/>
    <w:lvl w:ilvl="0" w:tentative="0">
      <w:start w:val="2"/>
      <w:numFmt w:val="decimal"/>
      <w:suff w:val="nothing"/>
      <w:lvlText w:val="%1、"/>
      <w:lvlJc w:val="left"/>
    </w:lvl>
  </w:abstractNum>
  <w:abstractNum w:abstractNumId="2">
    <w:nsid w:val="FF008D6A"/>
    <w:multiLevelType w:val="singleLevel"/>
    <w:tmpl w:val="FF008D6A"/>
    <w:lvl w:ilvl="0" w:tentative="0">
      <w:start w:val="2"/>
      <w:numFmt w:val="decimal"/>
      <w:lvlText w:val="%1."/>
      <w:lvlJc w:val="left"/>
      <w:pPr>
        <w:tabs>
          <w:tab w:val="left" w:pos="312"/>
        </w:tabs>
      </w:pPr>
    </w:lvl>
  </w:abstractNum>
  <w:abstractNum w:abstractNumId="3">
    <w:nsid w:val="30A46C0D"/>
    <w:multiLevelType w:val="singleLevel"/>
    <w:tmpl w:val="30A46C0D"/>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计财部招采中心">
    <w15:presenceInfo w15:providerId="None" w15:userId="计财部招采中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hideSpellingErrors/>
  <w:hideGrammaticalErrors/>
  <w:documentProtection w:enforcement="0"/>
  <w:defaultTabStop w:val="419"/>
  <w:drawingGridHorizontalSpacing w:val="105"/>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zZGM3NjU1ZGIzYzI3NWQ0MmFiNjdkNDAzMTI3YTQifQ=="/>
  </w:docVars>
  <w:rsids>
    <w:rsidRoot w:val="008F294C"/>
    <w:rsid w:val="00017EC7"/>
    <w:rsid w:val="000234E1"/>
    <w:rsid w:val="00033C45"/>
    <w:rsid w:val="0005284C"/>
    <w:rsid w:val="00054AA8"/>
    <w:rsid w:val="00061138"/>
    <w:rsid w:val="00064423"/>
    <w:rsid w:val="000663BB"/>
    <w:rsid w:val="000759D2"/>
    <w:rsid w:val="000762D5"/>
    <w:rsid w:val="000914B2"/>
    <w:rsid w:val="000935C6"/>
    <w:rsid w:val="000A30C3"/>
    <w:rsid w:val="000A46E5"/>
    <w:rsid w:val="000A7AFC"/>
    <w:rsid w:val="000B2854"/>
    <w:rsid w:val="000C269B"/>
    <w:rsid w:val="000C429D"/>
    <w:rsid w:val="001003C8"/>
    <w:rsid w:val="00112CC3"/>
    <w:rsid w:val="0011378F"/>
    <w:rsid w:val="00122BF7"/>
    <w:rsid w:val="001250A0"/>
    <w:rsid w:val="001260A5"/>
    <w:rsid w:val="00133B29"/>
    <w:rsid w:val="0016016F"/>
    <w:rsid w:val="00165255"/>
    <w:rsid w:val="00177598"/>
    <w:rsid w:val="00182005"/>
    <w:rsid w:val="00182AA9"/>
    <w:rsid w:val="001834EA"/>
    <w:rsid w:val="001A380C"/>
    <w:rsid w:val="001B06FE"/>
    <w:rsid w:val="001B3B15"/>
    <w:rsid w:val="001C20F4"/>
    <w:rsid w:val="001D0B20"/>
    <w:rsid w:val="001E5547"/>
    <w:rsid w:val="001E6D9B"/>
    <w:rsid w:val="001F72EA"/>
    <w:rsid w:val="002001EF"/>
    <w:rsid w:val="0021101D"/>
    <w:rsid w:val="002169C6"/>
    <w:rsid w:val="002175D5"/>
    <w:rsid w:val="0022176A"/>
    <w:rsid w:val="00234EE2"/>
    <w:rsid w:val="0024538F"/>
    <w:rsid w:val="0025311A"/>
    <w:rsid w:val="00254F64"/>
    <w:rsid w:val="00255E05"/>
    <w:rsid w:val="00264005"/>
    <w:rsid w:val="00276DCD"/>
    <w:rsid w:val="00280A6A"/>
    <w:rsid w:val="002C181E"/>
    <w:rsid w:val="002C284F"/>
    <w:rsid w:val="002C3634"/>
    <w:rsid w:val="002D1DB4"/>
    <w:rsid w:val="002D5ACE"/>
    <w:rsid w:val="002E4D1F"/>
    <w:rsid w:val="002E680B"/>
    <w:rsid w:val="003140E9"/>
    <w:rsid w:val="00314F7E"/>
    <w:rsid w:val="00317C9C"/>
    <w:rsid w:val="0032514A"/>
    <w:rsid w:val="00325CB0"/>
    <w:rsid w:val="003375F2"/>
    <w:rsid w:val="003437B1"/>
    <w:rsid w:val="0035465B"/>
    <w:rsid w:val="00362B69"/>
    <w:rsid w:val="00380451"/>
    <w:rsid w:val="00381179"/>
    <w:rsid w:val="00385822"/>
    <w:rsid w:val="00385995"/>
    <w:rsid w:val="003928D9"/>
    <w:rsid w:val="003A706B"/>
    <w:rsid w:val="003B1639"/>
    <w:rsid w:val="003B3054"/>
    <w:rsid w:val="003E1E7D"/>
    <w:rsid w:val="003E413B"/>
    <w:rsid w:val="003F1CC5"/>
    <w:rsid w:val="003F60A1"/>
    <w:rsid w:val="00412469"/>
    <w:rsid w:val="00424A2A"/>
    <w:rsid w:val="00427FA9"/>
    <w:rsid w:val="00430F1C"/>
    <w:rsid w:val="004352C7"/>
    <w:rsid w:val="004678AA"/>
    <w:rsid w:val="00475E63"/>
    <w:rsid w:val="004765E2"/>
    <w:rsid w:val="0048273F"/>
    <w:rsid w:val="00497597"/>
    <w:rsid w:val="004C5CC1"/>
    <w:rsid w:val="004D3A69"/>
    <w:rsid w:val="004D5BDC"/>
    <w:rsid w:val="004E0223"/>
    <w:rsid w:val="004F0BA3"/>
    <w:rsid w:val="004F6B91"/>
    <w:rsid w:val="005054ED"/>
    <w:rsid w:val="0050637C"/>
    <w:rsid w:val="00513686"/>
    <w:rsid w:val="005168A8"/>
    <w:rsid w:val="00527CAA"/>
    <w:rsid w:val="00535489"/>
    <w:rsid w:val="00564C6D"/>
    <w:rsid w:val="00572F3B"/>
    <w:rsid w:val="00597A7C"/>
    <w:rsid w:val="005A55DD"/>
    <w:rsid w:val="005A5926"/>
    <w:rsid w:val="005B5697"/>
    <w:rsid w:val="005C43B4"/>
    <w:rsid w:val="005C501F"/>
    <w:rsid w:val="005C71D6"/>
    <w:rsid w:val="005D518E"/>
    <w:rsid w:val="005E5BAC"/>
    <w:rsid w:val="005E6495"/>
    <w:rsid w:val="005F4DB6"/>
    <w:rsid w:val="00600E35"/>
    <w:rsid w:val="0060634A"/>
    <w:rsid w:val="006179E0"/>
    <w:rsid w:val="00653B6E"/>
    <w:rsid w:val="006565DE"/>
    <w:rsid w:val="00663784"/>
    <w:rsid w:val="006654FA"/>
    <w:rsid w:val="00666518"/>
    <w:rsid w:val="006779B2"/>
    <w:rsid w:val="006815F0"/>
    <w:rsid w:val="00686A11"/>
    <w:rsid w:val="00696C70"/>
    <w:rsid w:val="006A4FB4"/>
    <w:rsid w:val="006A7115"/>
    <w:rsid w:val="006A78FE"/>
    <w:rsid w:val="006B3A41"/>
    <w:rsid w:val="006C3C95"/>
    <w:rsid w:val="006C6E60"/>
    <w:rsid w:val="006E23F4"/>
    <w:rsid w:val="006E33C8"/>
    <w:rsid w:val="006E4B91"/>
    <w:rsid w:val="006F1648"/>
    <w:rsid w:val="00710B61"/>
    <w:rsid w:val="0072195B"/>
    <w:rsid w:val="00731FD4"/>
    <w:rsid w:val="007321CB"/>
    <w:rsid w:val="00744051"/>
    <w:rsid w:val="00745DA6"/>
    <w:rsid w:val="0074702B"/>
    <w:rsid w:val="00747877"/>
    <w:rsid w:val="00762CDC"/>
    <w:rsid w:val="007726AA"/>
    <w:rsid w:val="007811BD"/>
    <w:rsid w:val="0078233B"/>
    <w:rsid w:val="007879F5"/>
    <w:rsid w:val="00790ECC"/>
    <w:rsid w:val="00795440"/>
    <w:rsid w:val="007C68B1"/>
    <w:rsid w:val="007D099C"/>
    <w:rsid w:val="007D196C"/>
    <w:rsid w:val="007F21E3"/>
    <w:rsid w:val="00800E21"/>
    <w:rsid w:val="008022F2"/>
    <w:rsid w:val="0080439A"/>
    <w:rsid w:val="00805922"/>
    <w:rsid w:val="0081176D"/>
    <w:rsid w:val="00841AFE"/>
    <w:rsid w:val="00841D3F"/>
    <w:rsid w:val="00842F90"/>
    <w:rsid w:val="00851481"/>
    <w:rsid w:val="00860E4A"/>
    <w:rsid w:val="008825E7"/>
    <w:rsid w:val="008901D2"/>
    <w:rsid w:val="0089687D"/>
    <w:rsid w:val="0089739C"/>
    <w:rsid w:val="008B4A24"/>
    <w:rsid w:val="008C41B2"/>
    <w:rsid w:val="008D588C"/>
    <w:rsid w:val="008E1949"/>
    <w:rsid w:val="008F0659"/>
    <w:rsid w:val="008F294C"/>
    <w:rsid w:val="009004DB"/>
    <w:rsid w:val="00900D96"/>
    <w:rsid w:val="00901872"/>
    <w:rsid w:val="00925546"/>
    <w:rsid w:val="0093669A"/>
    <w:rsid w:val="00937842"/>
    <w:rsid w:val="009448A5"/>
    <w:rsid w:val="0095000D"/>
    <w:rsid w:val="009545E5"/>
    <w:rsid w:val="009556E0"/>
    <w:rsid w:val="00965317"/>
    <w:rsid w:val="009778C7"/>
    <w:rsid w:val="0098513C"/>
    <w:rsid w:val="00986ACA"/>
    <w:rsid w:val="00997874"/>
    <w:rsid w:val="009A3AD1"/>
    <w:rsid w:val="009B15EB"/>
    <w:rsid w:val="009B5406"/>
    <w:rsid w:val="009D1CFC"/>
    <w:rsid w:val="009D6B77"/>
    <w:rsid w:val="009E5390"/>
    <w:rsid w:val="009F176F"/>
    <w:rsid w:val="00A01D02"/>
    <w:rsid w:val="00A03559"/>
    <w:rsid w:val="00A153A7"/>
    <w:rsid w:val="00A27F8C"/>
    <w:rsid w:val="00A4209E"/>
    <w:rsid w:val="00A43AC6"/>
    <w:rsid w:val="00A43E15"/>
    <w:rsid w:val="00A52B45"/>
    <w:rsid w:val="00A60009"/>
    <w:rsid w:val="00A64B7B"/>
    <w:rsid w:val="00A746D3"/>
    <w:rsid w:val="00A8672B"/>
    <w:rsid w:val="00A952E3"/>
    <w:rsid w:val="00AA1006"/>
    <w:rsid w:val="00AC0453"/>
    <w:rsid w:val="00AE6905"/>
    <w:rsid w:val="00AF17C0"/>
    <w:rsid w:val="00AF337A"/>
    <w:rsid w:val="00B24488"/>
    <w:rsid w:val="00B270BA"/>
    <w:rsid w:val="00B357F6"/>
    <w:rsid w:val="00B37B18"/>
    <w:rsid w:val="00B502AC"/>
    <w:rsid w:val="00B622C3"/>
    <w:rsid w:val="00B705A2"/>
    <w:rsid w:val="00B739CA"/>
    <w:rsid w:val="00B968B6"/>
    <w:rsid w:val="00BB3355"/>
    <w:rsid w:val="00BB498B"/>
    <w:rsid w:val="00BC1838"/>
    <w:rsid w:val="00BC4524"/>
    <w:rsid w:val="00BD789C"/>
    <w:rsid w:val="00BD78F8"/>
    <w:rsid w:val="00BE1A28"/>
    <w:rsid w:val="00BE4C8C"/>
    <w:rsid w:val="00BE4E22"/>
    <w:rsid w:val="00BE7D9D"/>
    <w:rsid w:val="00BF0305"/>
    <w:rsid w:val="00BF1D3A"/>
    <w:rsid w:val="00BF7FD4"/>
    <w:rsid w:val="00C00265"/>
    <w:rsid w:val="00C009EC"/>
    <w:rsid w:val="00C03FA4"/>
    <w:rsid w:val="00C119F8"/>
    <w:rsid w:val="00C3667D"/>
    <w:rsid w:val="00C43776"/>
    <w:rsid w:val="00C55A1E"/>
    <w:rsid w:val="00C62E68"/>
    <w:rsid w:val="00C716DF"/>
    <w:rsid w:val="00C906CD"/>
    <w:rsid w:val="00C94D72"/>
    <w:rsid w:val="00CA5D0C"/>
    <w:rsid w:val="00CB29C5"/>
    <w:rsid w:val="00CD0F7A"/>
    <w:rsid w:val="00CD344F"/>
    <w:rsid w:val="00CF384C"/>
    <w:rsid w:val="00D014BD"/>
    <w:rsid w:val="00D11E7B"/>
    <w:rsid w:val="00D1484B"/>
    <w:rsid w:val="00D179DF"/>
    <w:rsid w:val="00D33AD0"/>
    <w:rsid w:val="00D4740A"/>
    <w:rsid w:val="00D5013E"/>
    <w:rsid w:val="00D50F38"/>
    <w:rsid w:val="00D51FA8"/>
    <w:rsid w:val="00D52EA8"/>
    <w:rsid w:val="00D533D8"/>
    <w:rsid w:val="00D65806"/>
    <w:rsid w:val="00D72C55"/>
    <w:rsid w:val="00D91AC4"/>
    <w:rsid w:val="00DD3BA2"/>
    <w:rsid w:val="00E17256"/>
    <w:rsid w:val="00E178F6"/>
    <w:rsid w:val="00E21552"/>
    <w:rsid w:val="00E22D24"/>
    <w:rsid w:val="00E3566D"/>
    <w:rsid w:val="00E417D0"/>
    <w:rsid w:val="00E44BE1"/>
    <w:rsid w:val="00E54530"/>
    <w:rsid w:val="00E5690F"/>
    <w:rsid w:val="00E60FE3"/>
    <w:rsid w:val="00E6627B"/>
    <w:rsid w:val="00E7636B"/>
    <w:rsid w:val="00E91663"/>
    <w:rsid w:val="00E918EE"/>
    <w:rsid w:val="00E91AC4"/>
    <w:rsid w:val="00EA4044"/>
    <w:rsid w:val="00EB2819"/>
    <w:rsid w:val="00EB4367"/>
    <w:rsid w:val="00EB63FC"/>
    <w:rsid w:val="00EC1164"/>
    <w:rsid w:val="00EC20AE"/>
    <w:rsid w:val="00EC2B9A"/>
    <w:rsid w:val="00EC4572"/>
    <w:rsid w:val="00ED23B5"/>
    <w:rsid w:val="00ED540F"/>
    <w:rsid w:val="00EE0D56"/>
    <w:rsid w:val="00EE483C"/>
    <w:rsid w:val="00EF1E9F"/>
    <w:rsid w:val="00EF3B66"/>
    <w:rsid w:val="00F02E01"/>
    <w:rsid w:val="00F1137F"/>
    <w:rsid w:val="00F12096"/>
    <w:rsid w:val="00F15F4A"/>
    <w:rsid w:val="00F20C77"/>
    <w:rsid w:val="00F56E88"/>
    <w:rsid w:val="00F570DE"/>
    <w:rsid w:val="00F6286B"/>
    <w:rsid w:val="00F660BD"/>
    <w:rsid w:val="00F6788B"/>
    <w:rsid w:val="00FB2B4E"/>
    <w:rsid w:val="00FB5470"/>
    <w:rsid w:val="00FB54B7"/>
    <w:rsid w:val="00FC0E73"/>
    <w:rsid w:val="00FC6132"/>
    <w:rsid w:val="00FD1C34"/>
    <w:rsid w:val="00FD5A4F"/>
    <w:rsid w:val="00FE40A6"/>
    <w:rsid w:val="00FE5F5C"/>
    <w:rsid w:val="00FF1100"/>
    <w:rsid w:val="00FF6D04"/>
    <w:rsid w:val="023B0973"/>
    <w:rsid w:val="031418F0"/>
    <w:rsid w:val="05C869C2"/>
    <w:rsid w:val="07477269"/>
    <w:rsid w:val="0855058A"/>
    <w:rsid w:val="09AA11B3"/>
    <w:rsid w:val="09AF5BE6"/>
    <w:rsid w:val="0D963232"/>
    <w:rsid w:val="0E3176E6"/>
    <w:rsid w:val="11542FE7"/>
    <w:rsid w:val="263B71BF"/>
    <w:rsid w:val="2A574CBB"/>
    <w:rsid w:val="2C971491"/>
    <w:rsid w:val="2DFF5C06"/>
    <w:rsid w:val="38226E32"/>
    <w:rsid w:val="3C061922"/>
    <w:rsid w:val="3C6E61FF"/>
    <w:rsid w:val="3D5D0969"/>
    <w:rsid w:val="3EB5160E"/>
    <w:rsid w:val="48472425"/>
    <w:rsid w:val="4CD34FFD"/>
    <w:rsid w:val="4D4724FE"/>
    <w:rsid w:val="57A239F8"/>
    <w:rsid w:val="5EA71BFC"/>
    <w:rsid w:val="607B5D1F"/>
    <w:rsid w:val="60DD7EBC"/>
    <w:rsid w:val="61A54544"/>
    <w:rsid w:val="61C93F36"/>
    <w:rsid w:val="625C6580"/>
    <w:rsid w:val="6283357C"/>
    <w:rsid w:val="65FB49E1"/>
    <w:rsid w:val="67DC5256"/>
    <w:rsid w:val="687051D2"/>
    <w:rsid w:val="6895604D"/>
    <w:rsid w:val="6B3C2288"/>
    <w:rsid w:val="71CB5E83"/>
    <w:rsid w:val="728F3D2C"/>
    <w:rsid w:val="74394FB6"/>
    <w:rsid w:val="7BE01E7B"/>
    <w:rsid w:val="7D30045E"/>
    <w:rsid w:val="7DC714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outlineLvl w:val="2"/>
    </w:pPr>
    <w:rPr>
      <w:rFonts w:ascii="楷体_GB2312" w:hAnsi="宋体" w:eastAsia="黑体"/>
      <w:b/>
      <w:bCs/>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Cs w:val="20"/>
    </w:rPr>
  </w:style>
  <w:style w:type="paragraph" w:styleId="3">
    <w:name w:val="Body Text Indent"/>
    <w:basedOn w:val="1"/>
    <w:qFormat/>
    <w:uiPriority w:val="99"/>
    <w:pPr>
      <w:spacing w:line="360" w:lineRule="auto"/>
      <w:ind w:firstLine="570"/>
    </w:pPr>
  </w:style>
  <w:style w:type="paragraph" w:styleId="6">
    <w:name w:val="annotation text"/>
    <w:basedOn w:val="1"/>
    <w:link w:val="25"/>
    <w:unhideWhenUsed/>
    <w:qFormat/>
    <w:uiPriority w:val="0"/>
    <w:pPr>
      <w:jc w:val="left"/>
    </w:pPr>
  </w:style>
  <w:style w:type="paragraph" w:styleId="7">
    <w:name w:val="Plain Text"/>
    <w:basedOn w:val="1"/>
    <w:qFormat/>
    <w:uiPriority w:val="99"/>
    <w:rPr>
      <w:rFonts w:ascii="宋体" w:hAnsi="Courier New" w:cs="Times New Roman"/>
      <w:szCs w:val="20"/>
    </w:rPr>
  </w:style>
  <w:style w:type="paragraph" w:styleId="8">
    <w:name w:val="Balloon Text"/>
    <w:basedOn w:val="1"/>
    <w:link w:val="22"/>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2">
    <w:name w:val="annotation subject"/>
    <w:basedOn w:val="6"/>
    <w:next w:val="6"/>
    <w:link w:val="26"/>
    <w:semiHidden/>
    <w:unhideWhenUsed/>
    <w:qFormat/>
    <w:uiPriority w:val="99"/>
    <w:rPr>
      <w:b/>
      <w:bCs/>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FollowedHyperlink"/>
    <w:basedOn w:val="15"/>
    <w:semiHidden/>
    <w:unhideWhenUsed/>
    <w:qFormat/>
    <w:uiPriority w:val="99"/>
    <w:rPr>
      <w:color w:val="954F72" w:themeColor="followedHyperlink"/>
      <w:u w:val="single"/>
      <w14:textFill>
        <w14:solidFill>
          <w14:schemeClr w14:val="folHlink"/>
        </w14:solidFill>
      </w14:textFill>
    </w:rPr>
  </w:style>
  <w:style w:type="character" w:styleId="18">
    <w:name w:val="Hyperlink"/>
    <w:basedOn w:val="15"/>
    <w:unhideWhenUsed/>
    <w:qFormat/>
    <w:uiPriority w:val="99"/>
    <w:rPr>
      <w:color w:val="0563C1" w:themeColor="hyperlink"/>
      <w:u w:val="single"/>
      <w14:textFill>
        <w14:solidFill>
          <w14:schemeClr w14:val="hlink"/>
        </w14:solidFill>
      </w14:textFill>
    </w:rPr>
  </w:style>
  <w:style w:type="character" w:styleId="19">
    <w:name w:val="annotation reference"/>
    <w:basedOn w:val="15"/>
    <w:semiHidden/>
    <w:unhideWhenUsed/>
    <w:qFormat/>
    <w:uiPriority w:val="99"/>
    <w:rPr>
      <w:sz w:val="21"/>
      <w:szCs w:val="21"/>
    </w:rPr>
  </w:style>
  <w:style w:type="character" w:customStyle="1" w:styleId="20">
    <w:name w:val="页眉 Char"/>
    <w:basedOn w:val="15"/>
    <w:link w:val="10"/>
    <w:qFormat/>
    <w:uiPriority w:val="99"/>
    <w:rPr>
      <w:sz w:val="18"/>
      <w:szCs w:val="18"/>
    </w:rPr>
  </w:style>
  <w:style w:type="character" w:customStyle="1" w:styleId="21">
    <w:name w:val="页脚 Char"/>
    <w:basedOn w:val="15"/>
    <w:link w:val="9"/>
    <w:qFormat/>
    <w:uiPriority w:val="99"/>
    <w:rPr>
      <w:sz w:val="18"/>
      <w:szCs w:val="18"/>
    </w:rPr>
  </w:style>
  <w:style w:type="character" w:customStyle="1" w:styleId="22">
    <w:name w:val="批注框文本 Char"/>
    <w:basedOn w:val="15"/>
    <w:link w:val="8"/>
    <w:semiHidden/>
    <w:qFormat/>
    <w:uiPriority w:val="99"/>
    <w:rPr>
      <w:sz w:val="18"/>
      <w:szCs w:val="18"/>
    </w:rPr>
  </w:style>
  <w:style w:type="paragraph" w:styleId="23">
    <w:name w:val="List Paragraph"/>
    <w:basedOn w:val="1"/>
    <w:qFormat/>
    <w:uiPriority w:val="34"/>
    <w:pPr>
      <w:ind w:firstLine="420" w:firstLineChars="200"/>
    </w:pPr>
    <w:rPr>
      <w:rFonts w:eastAsia="黑体"/>
      <w:bCs/>
      <w:sz w:val="30"/>
      <w:szCs w:val="30"/>
    </w:rPr>
  </w:style>
  <w:style w:type="paragraph" w:customStyle="1" w:styleId="24">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5">
    <w:name w:val="批注文字 Char"/>
    <w:basedOn w:val="15"/>
    <w:link w:val="6"/>
    <w:qFormat/>
    <w:uiPriority w:val="0"/>
    <w:rPr>
      <w:rFonts w:asciiTheme="minorHAnsi" w:hAnsiTheme="minorHAnsi" w:eastAsiaTheme="minorEastAsia" w:cstheme="minorBidi"/>
      <w:kern w:val="2"/>
      <w:sz w:val="21"/>
      <w:szCs w:val="24"/>
    </w:rPr>
  </w:style>
  <w:style w:type="character" w:customStyle="1" w:styleId="26">
    <w:name w:val="批注主题 Char"/>
    <w:basedOn w:val="25"/>
    <w:link w:val="12"/>
    <w:semiHidden/>
    <w:qFormat/>
    <w:uiPriority w:val="99"/>
    <w:rPr>
      <w:rFonts w:asciiTheme="minorHAnsi" w:hAnsiTheme="minorHAnsi" w:eastAsiaTheme="minorEastAsia" w:cstheme="minorBidi"/>
      <w:b/>
      <w:bCs/>
      <w:kern w:val="2"/>
      <w:sz w:val="21"/>
      <w:szCs w:val="24"/>
    </w:rPr>
  </w:style>
  <w:style w:type="character" w:customStyle="1" w:styleId="27">
    <w:name w:val="标题 1 Char"/>
    <w:basedOn w:val="15"/>
    <w:link w:val="4"/>
    <w:qFormat/>
    <w:uiPriority w:val="9"/>
    <w:rPr>
      <w:rFonts w:asciiTheme="minorHAnsi" w:hAnsiTheme="minorHAnsi" w:eastAsiaTheme="minorEastAsia" w:cstheme="minorBidi"/>
      <w:b/>
      <w:bCs/>
      <w:kern w:val="44"/>
      <w:sz w:val="44"/>
      <w:szCs w:val="44"/>
    </w:rPr>
  </w:style>
  <w:style w:type="character" w:customStyle="1" w:styleId="28">
    <w:name w:val="未处理的提及1"/>
    <w:basedOn w:val="15"/>
    <w:semiHidden/>
    <w:unhideWhenUsed/>
    <w:qFormat/>
    <w:uiPriority w:val="99"/>
    <w:rPr>
      <w:color w:val="605E5C"/>
      <w:shd w:val="clear" w:color="auto" w:fill="E1DFDD"/>
    </w:rPr>
  </w:style>
  <w:style w:type="paragraph" w:customStyle="1" w:styleId="29">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30">
    <w:name w:val="列出段落11"/>
    <w:basedOn w:val="1"/>
    <w:semiHidden/>
    <w:qFormat/>
    <w:uiPriority w:val="99"/>
    <w:pPr>
      <w:widowControl/>
      <w:spacing w:before="40" w:after="160"/>
      <w:ind w:firstLine="420" w:firstLineChars="200"/>
    </w:pPr>
    <w:rPr>
      <w:rFonts w:ascii="Cambria" w:hAnsi="Cambria" w:eastAsia="微软雅黑" w:cs="Cambria"/>
      <w:color w:val="565656"/>
      <w:kern w:val="20"/>
      <w:szCs w:val="21"/>
      <w:lang w:val="zh-CN"/>
    </w:rPr>
  </w:style>
  <w:style w:type="paragraph" w:customStyle="1" w:styleId="31">
    <w:name w:val="样式2"/>
    <w:basedOn w:val="1"/>
    <w:qFormat/>
    <w:uiPriority w:val="99"/>
    <w:pPr>
      <w:spacing w:line="300" w:lineRule="auto"/>
      <w:jc w:val="center"/>
      <w:outlineLvl w:val="0"/>
    </w:pPr>
    <w:rPr>
      <w:rFonts w:ascii="宋体" w:hAnsi="Times New Roman" w:cs="Times New Roman"/>
      <w:b/>
      <w:szCs w:val="20"/>
    </w:rPr>
  </w:style>
  <w:style w:type="paragraph" w:customStyle="1" w:styleId="32">
    <w:name w:val="列出段落1"/>
    <w:basedOn w:val="1"/>
    <w:qFormat/>
    <w:uiPriority w:val="99"/>
    <w:pPr>
      <w:ind w:firstLine="420" w:firstLineChars="200"/>
    </w:pPr>
  </w:style>
  <w:style w:type="paragraph" w:customStyle="1" w:styleId="33">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Revision"/>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35">
    <w:name w:val="首行缩进"/>
    <w:basedOn w:val="1"/>
    <w:qFormat/>
    <w:uiPriority w:val="99"/>
    <w:pPr>
      <w:spacing w:line="360" w:lineRule="auto"/>
      <w:ind w:firstLine="480" w:firstLineChars="200"/>
    </w:pPr>
    <w:rPr>
      <w:sz w:val="24"/>
      <w:szCs w:val="22"/>
      <w:lang w:val="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SMET</Company>
  <Pages>8</Pages>
  <Words>3770</Words>
  <Characters>3928</Characters>
  <Lines>28</Lines>
  <Paragraphs>7</Paragraphs>
  <TotalTime>0</TotalTime>
  <ScaleCrop>false</ScaleCrop>
  <LinksUpToDate>false</LinksUpToDate>
  <CharactersWithSpaces>3965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2026-03-13T08:29:00Z</dcterms:created>
  <dc:creator>River</dc:creator>
  <cp:lastModifiedBy>王晓玮</cp:lastModifiedBy>
  <cp:lastPrinted>2021-08-04T06:09:00Z</cp:lastPrinted>
  <dcterms:modified xsi:type="dcterms:W3CDTF">2026-03-20T03:28:09Z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652A2CF5A4D343C5879829A9F52B901B_13</vt:lpwstr>
  </property>
  <property fmtid="{D5CDD505-2E9C-101B-9397-08002B2CF9AE}" pid="4" name="KSOTemplateDocerSaveRecord">
    <vt:lpwstr>eyJoZGlkIjoiYzE5OThmNjI4ZGFkY2FlZTI0NTQzMWFjMmIwODk4OGIiLCJ1c2VySWQiOiIxNTcxOTU2NDQ1In0=</vt:lpwstr>
  </property>
</Properties>
</file>